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1658" w14:textId="77777777" w:rsidR="00690D14" w:rsidRPr="009316F3" w:rsidRDefault="005351F2" w:rsidP="009316F3">
      <w:pPr>
        <w:jc w:val="center"/>
        <w:rPr>
          <w:b/>
          <w:sz w:val="36"/>
          <w:szCs w:val="36"/>
        </w:rPr>
      </w:pPr>
      <w:bookmarkStart w:id="0" w:name="Codigo_proyecto"/>
      <w:bookmarkEnd w:id="0"/>
      <w:r>
        <w:rPr>
          <w:b/>
          <w:sz w:val="36"/>
          <w:szCs w:val="36"/>
        </w:rPr>
        <w:t>PNE 41610</w:t>
      </w:r>
    </w:p>
    <w:p w14:paraId="7FC1E8C9" w14:textId="77777777" w:rsidR="009316F3" w:rsidRPr="009316F3" w:rsidRDefault="009316F3" w:rsidP="009316F3">
      <w:pPr>
        <w:jc w:val="center"/>
        <w:rPr>
          <w:b/>
          <w:sz w:val="36"/>
          <w:szCs w:val="36"/>
        </w:rPr>
      </w:pPr>
    </w:p>
    <w:p w14:paraId="4D0C5769" w14:textId="77777777" w:rsidR="009316F3" w:rsidRDefault="005351F2" w:rsidP="009316F3">
      <w:pPr>
        <w:jc w:val="center"/>
        <w:rPr>
          <w:b/>
          <w:sz w:val="36"/>
          <w:szCs w:val="36"/>
        </w:rPr>
      </w:pPr>
      <w:bookmarkStart w:id="1" w:name="Titulo_proyecto"/>
      <w:bookmarkEnd w:id="1"/>
      <w:r>
        <w:rPr>
          <w:b/>
          <w:sz w:val="36"/>
          <w:szCs w:val="36"/>
        </w:rPr>
        <w:t>Construcción industrializada de edificios: Definiciones, clasificación e índice de industrialización</w:t>
      </w:r>
    </w:p>
    <w:p w14:paraId="6D8242AA" w14:textId="77777777" w:rsidR="00476349" w:rsidRDefault="00476349" w:rsidP="00162DA3"/>
    <w:p w14:paraId="394466B3" w14:textId="77777777" w:rsidR="00162DA3" w:rsidRDefault="00162DA3" w:rsidP="00162DA3">
      <w:pPr>
        <w:sectPr w:rsidR="00162DA3" w:rsidSect="00A21375">
          <w:pgSz w:w="11906" w:h="16838" w:code="9"/>
          <w:pgMar w:top="5670" w:right="1134" w:bottom="1134" w:left="1134" w:header="709" w:footer="709" w:gutter="0"/>
          <w:cols w:space="708"/>
          <w:docGrid w:linePitch="360"/>
        </w:sectPr>
      </w:pPr>
    </w:p>
    <w:p w14:paraId="67F21C23" w14:textId="77777777" w:rsidR="00214356" w:rsidRDefault="00214356" w:rsidP="00C7648C">
      <w:pPr>
        <w:pStyle w:val="Aviso"/>
      </w:pPr>
      <w:r>
        <w:lastRenderedPageBreak/>
        <w:t>Se llama la atención sobre la posibilidad de que algunos elementos de este documento puedan ser objeto de derechos de patente. UNE no es responsable de la identificación de dichos derechos de patente.</w:t>
      </w:r>
    </w:p>
    <w:p w14:paraId="4E2E5BEE" w14:textId="77777777" w:rsidR="00214356" w:rsidRDefault="00214356">
      <w:pPr>
        <w:widowControl/>
        <w:jc w:val="left"/>
      </w:pPr>
    </w:p>
    <w:p w14:paraId="6389A4E8" w14:textId="77777777" w:rsidR="00214356" w:rsidRDefault="00214356"/>
    <w:p w14:paraId="75F1CD89" w14:textId="4EFD17BB" w:rsidR="00214356" w:rsidRDefault="00214356" w:rsidP="00214356">
      <w:pPr>
        <w:pStyle w:val="Ttulo1s"/>
        <w:rPr>
          <w:rFonts w:eastAsia="Bookman Old Style"/>
          <w:sz w:val="22"/>
        </w:rPr>
      </w:pPr>
      <w:r>
        <w:rPr>
          <w:rFonts w:eastAsia="Bookman Old Style"/>
        </w:rPr>
        <w:t>0</w:t>
      </w:r>
      <w:r>
        <w:rPr>
          <w:rFonts w:eastAsia="Bookman Old Style"/>
        </w:rPr>
        <w:tab/>
      </w:r>
      <w:proofErr w:type="gramStart"/>
      <w:r>
        <w:rPr>
          <w:rFonts w:eastAsia="Bookman Old Style"/>
        </w:rPr>
        <w:t>Introducción</w:t>
      </w:r>
      <w:proofErr w:type="gramEnd"/>
    </w:p>
    <w:p w14:paraId="5866ED7D" w14:textId="61A44682" w:rsidR="00214356" w:rsidRDefault="00214356" w:rsidP="00214356">
      <w:r>
        <w:t>La construcción industrializada está ganando relevancia en el sector de la edificación debido a los beneficios que aporta como la eficiencia, certidumbre y optimización en plazos y costes de construcción, y en su contribución a la mejora de la sostenibilidad.</w:t>
      </w:r>
    </w:p>
    <w:p w14:paraId="7FB1C3D3" w14:textId="77777777" w:rsidR="00214356" w:rsidRDefault="00214356" w:rsidP="00214356"/>
    <w:p w14:paraId="61B279AD" w14:textId="77777777" w:rsidR="00214356" w:rsidRDefault="00214356" w:rsidP="00214356">
      <w:r>
        <w:t>El lanzamiento por parte del Gobierno de España del Proyecto Estratégico para la Recuperación y Transformación Económica (PERTE) centrado en la Industrialización de la Vivienda, ha puesto de manifiesto la necesidad de armonizar los diferentes conceptos relacionados con la construcción industrializada, así como de clasificar los diferentes componentes y definir una metodología para calcular el índice de industrialización del edificio.</w:t>
      </w:r>
    </w:p>
    <w:p w14:paraId="6FDB6069" w14:textId="77777777" w:rsidR="00214356" w:rsidRDefault="00214356" w:rsidP="00214356"/>
    <w:p w14:paraId="16F2BDCA" w14:textId="3E5832C0" w:rsidR="00214356" w:rsidRDefault="00214356" w:rsidP="00214356">
      <w:r>
        <w:t>La norma no establece requisitos reglamentarios de obligado cumplimiento ni criterios de conformidad técnica o estructural de los productos o sistemas constructivos, sino que se limita a definir conceptos, clasificaciones y un método de cálculo del índice de industrialización, pudiendo emplearse de forma voluntaria como herramienta de apoyo para la toma de decisiones técnicas, la comparación entre proyectos y el fomento de la industrialización en el sector de la edificación.</w:t>
      </w:r>
    </w:p>
    <w:p w14:paraId="21A7D30C" w14:textId="77777777" w:rsidR="00214356" w:rsidRDefault="00214356" w:rsidP="00214356"/>
    <w:p w14:paraId="79679CFC" w14:textId="77777777" w:rsidR="00214356" w:rsidRDefault="00214356" w:rsidP="00214356">
      <w:r>
        <w:t>La definición del índice de industrialización que establece esta norma es una medida que se realiza a través de conceptos y valores objetivos de los proyectos. La definición de grados de industrialización es una forma cualitativa de valorar la intensidad de industrialización, que puede apoyarse en el índice de industrialización, y se deja abierta a la interpretación que puedan hacer los agentes según sus estrategias propias de promoción de la construcción industrializada de edificios.</w:t>
      </w:r>
    </w:p>
    <w:p w14:paraId="16FE6F01" w14:textId="77777777" w:rsidR="00214356" w:rsidRDefault="00214356" w:rsidP="00214356"/>
    <w:p w14:paraId="031CCD84" w14:textId="77777777" w:rsidR="00214356" w:rsidRDefault="00214356" w:rsidP="00214356"/>
    <w:p w14:paraId="39F52BCA" w14:textId="4F537820" w:rsidR="00214356" w:rsidRDefault="00214356" w:rsidP="00214356">
      <w:pPr>
        <w:pStyle w:val="Ttulo1s"/>
        <w:rPr>
          <w:rFonts w:eastAsia="Bookman Old Style"/>
        </w:rPr>
      </w:pPr>
      <w:r>
        <w:rPr>
          <w:rFonts w:eastAsia="Bookman Old Style"/>
        </w:rPr>
        <w:t>1</w:t>
      </w:r>
      <w:r>
        <w:rPr>
          <w:rFonts w:eastAsia="Bookman Old Style"/>
        </w:rPr>
        <w:tab/>
      </w:r>
      <w:proofErr w:type="gramStart"/>
      <w:r>
        <w:rPr>
          <w:rFonts w:eastAsia="Bookman Old Style"/>
        </w:rPr>
        <w:t>Objeto</w:t>
      </w:r>
      <w:proofErr w:type="gramEnd"/>
      <w:r>
        <w:rPr>
          <w:rFonts w:eastAsia="Bookman Old Style"/>
        </w:rPr>
        <w:t xml:space="preserve"> y campo de aplicación</w:t>
      </w:r>
    </w:p>
    <w:p w14:paraId="0D9DC797" w14:textId="77777777" w:rsidR="00214356" w:rsidRDefault="00214356" w:rsidP="00214356">
      <w:r>
        <w:t>Esta norma tiene por objeto establecer un marco común de referencia para la construcción industrializada de edificios, mediante la unificación y definición de los términos más usuales empleados en este ámbito, así como la clasificación sistemática de los componentes industrializados como unidad de referencia.</w:t>
      </w:r>
    </w:p>
    <w:p w14:paraId="2340819C" w14:textId="77777777" w:rsidR="00214356" w:rsidRDefault="00214356" w:rsidP="00214356"/>
    <w:p w14:paraId="78FEB236" w14:textId="77777777" w:rsidR="00214356" w:rsidRDefault="00214356" w:rsidP="00214356">
      <w:r>
        <w:t>Asimismo, la norma establece el método para el cálculo del índice de industrialización de un proyecto de edificación, con el fin de permitir una evaluación objetiva, comparable y reproducible de la industrialización alcanzada, independientemente de la tipología edificatoria, el sistema constructivo adoptado o la tecnología empleada.</w:t>
      </w:r>
    </w:p>
    <w:p w14:paraId="5FE25B23" w14:textId="77777777" w:rsidR="00214356" w:rsidRDefault="00214356" w:rsidP="00214356"/>
    <w:p w14:paraId="5E07B0F6" w14:textId="77777777" w:rsidR="00214356" w:rsidRDefault="00214356" w:rsidP="00214356">
      <w:r>
        <w:t>El campo de aplicación de esta norma abarca los proyectos de edificación de nueva planta, así como las intervenciones de rehabilitación, ampliación o reforma en las que se incorporen soluciones de construcción industrializada, con independencia de su uso previsto (residencial, terciario, industrial, dotacional u otros).</w:t>
      </w:r>
    </w:p>
    <w:p w14:paraId="6CB432AB" w14:textId="77777777" w:rsidR="00214356" w:rsidRDefault="00214356" w:rsidP="00214356"/>
    <w:p w14:paraId="681CA435" w14:textId="77777777" w:rsidR="00214356" w:rsidRDefault="00214356" w:rsidP="00214356">
      <w:r>
        <w:t>Esta norma es de aplicación por todos los agentes que intervienen en el proceso edificatorio, incluyendo promotores, proyectistas, direcciones facultativas, constructores, fabricantes de componentes industrializados o entidades de evaluación, y puede utilizarse con fines de diseño, análisis técnico, planificación, contratación, certificación, seguimiento del proyecto y/o evaluación comparativa.</w:t>
      </w:r>
    </w:p>
    <w:p w14:paraId="024E8B91" w14:textId="1A4CE596" w:rsidR="00E85947" w:rsidRDefault="00E85947">
      <w:pPr>
        <w:widowControl/>
        <w:jc w:val="left"/>
      </w:pPr>
      <w:r>
        <w:br w:type="page"/>
      </w:r>
    </w:p>
    <w:p w14:paraId="2DD4731A" w14:textId="77777777" w:rsidR="00214356" w:rsidRDefault="00214356" w:rsidP="00214356">
      <w:pPr>
        <w:rPr>
          <w:rFonts w:eastAsia="Aptos" w:cs="Aptos"/>
        </w:rPr>
      </w:pPr>
      <w:r>
        <w:rPr>
          <w:rFonts w:eastAsia="Aptos" w:cs="Aptos"/>
        </w:rPr>
        <w:lastRenderedPageBreak/>
        <w:t>Esta norma no incluye:</w:t>
      </w:r>
    </w:p>
    <w:p w14:paraId="3C12BD0B" w14:textId="77777777" w:rsidR="00E85947" w:rsidRDefault="00E85947" w:rsidP="00214356">
      <w:pPr>
        <w:rPr>
          <w:rFonts w:eastAsia="Aptos" w:cs="Aptos"/>
        </w:rPr>
      </w:pPr>
    </w:p>
    <w:p w14:paraId="4A506ADC" w14:textId="1A14919B" w:rsidR="00214356" w:rsidRDefault="00E85947" w:rsidP="00E85947">
      <w:pPr>
        <w:widowControl/>
        <w:tabs>
          <w:tab w:val="left" w:pos="283"/>
        </w:tabs>
        <w:ind w:left="283" w:hanging="283"/>
        <w:rPr>
          <w:rFonts w:eastAsia="Aptos" w:cs="Aptos"/>
        </w:rPr>
      </w:pPr>
      <w:r>
        <w:rPr>
          <w:rFonts w:eastAsia="Aptos" w:cs="Aptos"/>
        </w:rPr>
        <w:t>–</w:t>
      </w:r>
      <w:r w:rsidR="00214356">
        <w:rPr>
          <w:rFonts w:eastAsia="Aptos" w:cs="Aptos"/>
        </w:rPr>
        <w:tab/>
        <w:t xml:space="preserve">la construcción </w:t>
      </w:r>
      <w:r w:rsidR="00214356" w:rsidRPr="00E85947">
        <w:rPr>
          <w:rFonts w:eastAsia="Aptos" w:cs="Aptos"/>
          <w:i/>
          <w:iCs/>
        </w:rPr>
        <w:t>in situ</w:t>
      </w:r>
      <w:r>
        <w:rPr>
          <w:rFonts w:eastAsia="Aptos" w:cs="Aptos"/>
        </w:rPr>
        <w:t>;</w:t>
      </w:r>
    </w:p>
    <w:p w14:paraId="18B4DD04" w14:textId="77777777" w:rsidR="00E85947" w:rsidRDefault="00E85947" w:rsidP="00E85947">
      <w:pPr>
        <w:widowControl/>
        <w:tabs>
          <w:tab w:val="left" w:pos="283"/>
        </w:tabs>
        <w:ind w:left="283" w:hanging="283"/>
        <w:rPr>
          <w:rFonts w:eastAsia="Aptos" w:cs="Aptos"/>
        </w:rPr>
      </w:pPr>
    </w:p>
    <w:p w14:paraId="0A205F87" w14:textId="3CC76B79" w:rsidR="00214356" w:rsidRDefault="00E85947" w:rsidP="00E85947">
      <w:pPr>
        <w:widowControl/>
        <w:tabs>
          <w:tab w:val="left" w:pos="283"/>
        </w:tabs>
        <w:ind w:left="283" w:hanging="283"/>
        <w:rPr>
          <w:rFonts w:eastAsia="Aptos" w:cs="Aptos"/>
        </w:rPr>
      </w:pPr>
      <w:r>
        <w:rPr>
          <w:rFonts w:eastAsia="Aptos" w:cs="Aptos"/>
        </w:rPr>
        <w:t>–</w:t>
      </w:r>
      <w:r w:rsidR="00214356">
        <w:rPr>
          <w:rFonts w:eastAsia="Aptos" w:cs="Aptos"/>
        </w:rPr>
        <w:tab/>
        <w:t>el grado de industrialización de un edificio.</w:t>
      </w:r>
    </w:p>
    <w:p w14:paraId="16FD7D36" w14:textId="77777777" w:rsidR="00214356" w:rsidRDefault="00214356" w:rsidP="00214356">
      <w:pPr>
        <w:rPr>
          <w:rFonts w:eastAsia="Aptos" w:cs="Aptos"/>
        </w:rPr>
      </w:pPr>
    </w:p>
    <w:p w14:paraId="25DAD435" w14:textId="77777777" w:rsidR="00E85947" w:rsidRDefault="00E85947" w:rsidP="00214356">
      <w:pPr>
        <w:rPr>
          <w:rFonts w:eastAsia="Aptos" w:cs="Aptos"/>
        </w:rPr>
      </w:pPr>
    </w:p>
    <w:p w14:paraId="15B938D1" w14:textId="77777777" w:rsidR="00214356" w:rsidRDefault="00214356" w:rsidP="00E85947">
      <w:pPr>
        <w:pStyle w:val="Ttulo1s"/>
        <w:rPr>
          <w:rFonts w:eastAsia="Bookman Old Style"/>
        </w:rPr>
      </w:pPr>
      <w:r>
        <w:rPr>
          <w:rFonts w:eastAsia="Bookman Old Style"/>
        </w:rPr>
        <w:t>2</w:t>
      </w:r>
      <w:r>
        <w:rPr>
          <w:rFonts w:eastAsia="Bookman Old Style"/>
        </w:rPr>
        <w:tab/>
      </w:r>
      <w:proofErr w:type="gramStart"/>
      <w:r>
        <w:rPr>
          <w:rFonts w:eastAsia="Bookman Old Style"/>
        </w:rPr>
        <w:t>Términos</w:t>
      </w:r>
      <w:proofErr w:type="gramEnd"/>
      <w:r>
        <w:rPr>
          <w:rFonts w:eastAsia="Bookman Old Style"/>
        </w:rPr>
        <w:t xml:space="preserve"> y definiciones</w:t>
      </w:r>
    </w:p>
    <w:p w14:paraId="273B6A1F" w14:textId="1A1CE0F6" w:rsidR="00E85947" w:rsidRDefault="00E85947">
      <w:r>
        <w:t>Para los fines de este documento, se aplican los términos y definiciones siguientes:</w:t>
      </w:r>
    </w:p>
    <w:p w14:paraId="18F03AD5" w14:textId="44DB52B7" w:rsidR="00214356" w:rsidRDefault="00214356" w:rsidP="00E85947">
      <w:pPr>
        <w:pStyle w:val="Def2tit"/>
        <w:rPr>
          <w:rFonts w:eastAsia="Bookman Old Style"/>
        </w:rPr>
      </w:pPr>
      <w:r>
        <w:rPr>
          <w:rFonts w:eastAsia="Bookman Old Style"/>
        </w:rPr>
        <w:t>2.1</w:t>
      </w:r>
      <w:r>
        <w:rPr>
          <w:rFonts w:eastAsia="Bookman Old Style"/>
        </w:rPr>
        <w:tab/>
      </w:r>
      <w:r w:rsidR="00E85947">
        <w:rPr>
          <w:rFonts w:eastAsia="Bookman Old Style"/>
        </w:rPr>
        <w:t>c</w:t>
      </w:r>
      <w:r>
        <w:rPr>
          <w:rFonts w:eastAsia="Bookman Old Style"/>
        </w:rPr>
        <w:t>onstrucción industrializada</w:t>
      </w:r>
      <w:r w:rsidR="00E85947">
        <w:rPr>
          <w:rFonts w:eastAsia="Bookman Old Style"/>
        </w:rPr>
        <w:t>:</w:t>
      </w:r>
    </w:p>
    <w:p w14:paraId="530DBCD8" w14:textId="77777777" w:rsidR="00214356" w:rsidRDefault="00214356" w:rsidP="00E85947">
      <w:pPr>
        <w:pStyle w:val="Deftxt"/>
      </w:pPr>
      <w:r w:rsidRPr="00214356">
        <w:t>Proceso de construcción que implica el diseño y la fabricación de componentes industrializados para su posterior transporte, recepción en obra, montaje y ensamblaje en el edificio.</w:t>
      </w:r>
    </w:p>
    <w:p w14:paraId="51127E8A" w14:textId="04F34D79" w:rsidR="00214356" w:rsidRDefault="00214356" w:rsidP="00E85947">
      <w:pPr>
        <w:pStyle w:val="Def2tit"/>
        <w:rPr>
          <w:rFonts w:eastAsia="Bookman Old Style"/>
        </w:rPr>
      </w:pPr>
      <w:r>
        <w:rPr>
          <w:rFonts w:eastAsia="Bookman Old Style"/>
        </w:rPr>
        <w:t>2.2</w:t>
      </w:r>
      <w:r>
        <w:rPr>
          <w:rFonts w:eastAsia="Bookman Old Style"/>
        </w:rPr>
        <w:tab/>
      </w:r>
      <w:r w:rsidR="00E85947">
        <w:rPr>
          <w:rFonts w:eastAsia="Bookman Old Style"/>
        </w:rPr>
        <w:t>c</w:t>
      </w:r>
      <w:r>
        <w:rPr>
          <w:rFonts w:eastAsia="Bookman Old Style"/>
        </w:rPr>
        <w:t>omponente industrializado</w:t>
      </w:r>
      <w:r w:rsidR="00E85947">
        <w:rPr>
          <w:rFonts w:eastAsia="Bookman Old Style"/>
        </w:rPr>
        <w:t>:</w:t>
      </w:r>
    </w:p>
    <w:p w14:paraId="4D8D4654" w14:textId="77777777" w:rsidR="00214356" w:rsidRDefault="00214356" w:rsidP="00E85947">
      <w:pPr>
        <w:pStyle w:val="Deftxt"/>
      </w:pPr>
      <w:r>
        <w:t>Parte del edificio formada por agregación de elementos, que ha sido fabricada industrialmente para que, una vez transportada y colocada en el lugar del edificio que le corresponde, cumple con los requisitos funcionales que le han sido asignados debiendo asegurar su trazabilidad a lo largo de todo el proceso, desde el diseño hasta su ensamblaje final.</w:t>
      </w:r>
    </w:p>
    <w:p w14:paraId="3FCFE852" w14:textId="75C318CC" w:rsidR="00214356" w:rsidRDefault="00214356" w:rsidP="00E85947">
      <w:pPr>
        <w:pStyle w:val="Def2tit"/>
        <w:rPr>
          <w:rFonts w:eastAsia="Bookman Old Style"/>
        </w:rPr>
      </w:pPr>
      <w:r>
        <w:rPr>
          <w:rFonts w:eastAsia="Bookman Old Style"/>
        </w:rPr>
        <w:t>2.3</w:t>
      </w:r>
      <w:r>
        <w:rPr>
          <w:rFonts w:eastAsia="Bookman Old Style"/>
        </w:rPr>
        <w:tab/>
      </w:r>
      <w:r w:rsidR="00E85947">
        <w:rPr>
          <w:rFonts w:eastAsia="Bookman Old Style"/>
        </w:rPr>
        <w:t>e</w:t>
      </w:r>
      <w:r>
        <w:rPr>
          <w:rFonts w:eastAsia="Bookman Old Style"/>
        </w:rPr>
        <w:t>lemento</w:t>
      </w:r>
      <w:r w:rsidR="00E85947">
        <w:rPr>
          <w:rFonts w:eastAsia="Bookman Old Style"/>
        </w:rPr>
        <w:t>:</w:t>
      </w:r>
    </w:p>
    <w:p w14:paraId="26106988" w14:textId="77777777" w:rsidR="00214356" w:rsidRDefault="00214356" w:rsidP="00E85947">
      <w:pPr>
        <w:pStyle w:val="Deftxt"/>
      </w:pPr>
      <w:r>
        <w:t>Pieza o parte fabricada industrialmente integrante de un componente industrializado, que bien puede ir incorporado desde fábrica o bien hacerlo durante el ensamblaje en obra.</w:t>
      </w:r>
    </w:p>
    <w:p w14:paraId="5EAD54C8" w14:textId="5A73F25A" w:rsidR="00214356" w:rsidRDefault="00214356" w:rsidP="00E85947">
      <w:pPr>
        <w:pStyle w:val="Def2tit"/>
        <w:rPr>
          <w:rFonts w:eastAsia="Bookman Old Style"/>
        </w:rPr>
      </w:pPr>
      <w:r>
        <w:rPr>
          <w:rFonts w:eastAsia="Bookman Old Style"/>
        </w:rPr>
        <w:t>2.4</w:t>
      </w:r>
      <w:r>
        <w:rPr>
          <w:rFonts w:eastAsia="Bookman Old Style"/>
        </w:rPr>
        <w:tab/>
      </w:r>
      <w:r w:rsidR="00E85947">
        <w:rPr>
          <w:rFonts w:eastAsia="Bookman Old Style"/>
        </w:rPr>
        <w:t>m</w:t>
      </w:r>
      <w:r>
        <w:rPr>
          <w:rFonts w:eastAsia="Bookman Old Style"/>
        </w:rPr>
        <w:t>ontaje</w:t>
      </w:r>
      <w:r w:rsidR="00E85947">
        <w:rPr>
          <w:rFonts w:eastAsia="Bookman Old Style"/>
        </w:rPr>
        <w:t>:</w:t>
      </w:r>
    </w:p>
    <w:p w14:paraId="3A9A5659" w14:textId="77777777" w:rsidR="00214356" w:rsidRDefault="00214356" w:rsidP="00E85947">
      <w:pPr>
        <w:pStyle w:val="Deftxt"/>
      </w:pPr>
      <w:r>
        <w:t>El conjunto de operaciones necesarias para colocar los elementos y componentes industrializados en la posición prevista en proyecto, incluyendo izado, ajuste y ensamblaje, así como las tolerancias y comprobaciones asociadas.</w:t>
      </w:r>
    </w:p>
    <w:p w14:paraId="4DEF5811" w14:textId="08FA7A38" w:rsidR="00214356" w:rsidRDefault="00214356" w:rsidP="00E85947">
      <w:pPr>
        <w:pStyle w:val="Def2tit"/>
        <w:rPr>
          <w:rFonts w:eastAsia="Bookman Old Style"/>
        </w:rPr>
      </w:pPr>
      <w:r>
        <w:rPr>
          <w:rFonts w:eastAsia="Bookman Old Style"/>
        </w:rPr>
        <w:t>2.5</w:t>
      </w:r>
      <w:r>
        <w:rPr>
          <w:rFonts w:eastAsia="Bookman Old Style"/>
        </w:rPr>
        <w:tab/>
      </w:r>
      <w:r w:rsidR="00E85947">
        <w:rPr>
          <w:rFonts w:eastAsia="Bookman Old Style"/>
        </w:rPr>
        <w:t>e</w:t>
      </w:r>
      <w:r>
        <w:rPr>
          <w:rFonts w:eastAsia="Bookman Old Style"/>
        </w:rPr>
        <w:t>nsamblaje</w:t>
      </w:r>
      <w:r w:rsidR="00E85947">
        <w:rPr>
          <w:rFonts w:eastAsia="Bookman Old Style"/>
        </w:rPr>
        <w:t>:</w:t>
      </w:r>
    </w:p>
    <w:p w14:paraId="721265CE" w14:textId="175DD638" w:rsidR="00214356" w:rsidRDefault="00214356" w:rsidP="00E85947">
      <w:pPr>
        <w:pStyle w:val="Deftxt"/>
        <w:rPr>
          <w:rFonts w:eastAsia="Aptos"/>
        </w:rPr>
      </w:pPr>
      <w:r>
        <w:rPr>
          <w:rFonts w:eastAsia="Aptos"/>
        </w:rPr>
        <w:t>Fase final del montaje en la que se conectan los componentes industrializados en la posición definitiva prevista en el proyecto.</w:t>
      </w:r>
    </w:p>
    <w:p w14:paraId="7B4056CA" w14:textId="2024483C" w:rsidR="00214356" w:rsidRDefault="00214356" w:rsidP="00E85947">
      <w:pPr>
        <w:pStyle w:val="Def2tit"/>
        <w:rPr>
          <w:rFonts w:eastAsia="Bookman Old Style"/>
        </w:rPr>
      </w:pPr>
      <w:r>
        <w:rPr>
          <w:rFonts w:eastAsia="Bookman Old Style"/>
        </w:rPr>
        <w:t>2.6</w:t>
      </w:r>
      <w:r>
        <w:rPr>
          <w:rFonts w:eastAsia="Bookman Old Style"/>
        </w:rPr>
        <w:tab/>
      </w:r>
      <w:r w:rsidR="00E85947">
        <w:rPr>
          <w:rFonts w:eastAsia="Bookman Old Style"/>
        </w:rPr>
        <w:t>t</w:t>
      </w:r>
      <w:r>
        <w:rPr>
          <w:rFonts w:eastAsia="Bookman Old Style"/>
        </w:rPr>
        <w:t>razabilidad</w:t>
      </w:r>
      <w:r w:rsidR="00E85947">
        <w:rPr>
          <w:rFonts w:eastAsia="Bookman Old Style"/>
        </w:rPr>
        <w:t>:</w:t>
      </w:r>
    </w:p>
    <w:p w14:paraId="6E4E8681" w14:textId="77777777" w:rsidR="00214356" w:rsidRDefault="00214356" w:rsidP="00E85947">
      <w:pPr>
        <w:pStyle w:val="Deftxt"/>
      </w:pPr>
      <w:r>
        <w:t>Capacidad para rastrear la historia, la aplicación o la localización de un componente industrializado a lo largo de todo el proceso, desde el diseño hasta el ensamblaje final.</w:t>
      </w:r>
    </w:p>
    <w:p w14:paraId="50497D33" w14:textId="668BE6DB" w:rsidR="00214356" w:rsidRDefault="00214356" w:rsidP="00E85947">
      <w:pPr>
        <w:pStyle w:val="Def2tit"/>
        <w:rPr>
          <w:rFonts w:eastAsia="Bookman Old Style"/>
        </w:rPr>
      </w:pPr>
      <w:r>
        <w:rPr>
          <w:rFonts w:eastAsia="Bookman Old Style"/>
        </w:rPr>
        <w:t>2.7</w:t>
      </w:r>
      <w:r>
        <w:rPr>
          <w:rFonts w:eastAsia="Bookman Old Style"/>
        </w:rPr>
        <w:tab/>
      </w:r>
      <w:r w:rsidR="00E85947">
        <w:rPr>
          <w:rFonts w:eastAsia="Bookman Old Style"/>
        </w:rPr>
        <w:t>i</w:t>
      </w:r>
      <w:r>
        <w:rPr>
          <w:rFonts w:eastAsia="Bookman Old Style"/>
        </w:rPr>
        <w:t>ndustrialización abierta</w:t>
      </w:r>
      <w:r w:rsidR="00E85947">
        <w:rPr>
          <w:rFonts w:eastAsia="Bookman Old Style"/>
        </w:rPr>
        <w:t>:</w:t>
      </w:r>
    </w:p>
    <w:p w14:paraId="2E54E917" w14:textId="77777777" w:rsidR="00214356" w:rsidRDefault="00214356" w:rsidP="00E85947">
      <w:pPr>
        <w:pStyle w:val="Deftxt"/>
      </w:pPr>
      <w:r>
        <w:t>Construcción que combina componentes industrializados producidos por distintos fabricantes sin acuerdos previos entre ellos, donde la verificación de la compatibilidad recae en el equipo de desarrollo del proyecto.</w:t>
      </w:r>
    </w:p>
    <w:p w14:paraId="42C41F2A" w14:textId="4340B180" w:rsidR="00214356" w:rsidRDefault="00214356" w:rsidP="00E85947">
      <w:pPr>
        <w:pStyle w:val="Def2tit"/>
        <w:rPr>
          <w:rFonts w:eastAsia="Bookman Old Style"/>
        </w:rPr>
      </w:pPr>
      <w:r>
        <w:rPr>
          <w:rFonts w:eastAsia="Bookman Old Style"/>
        </w:rPr>
        <w:t>2.8</w:t>
      </w:r>
      <w:r>
        <w:rPr>
          <w:rFonts w:eastAsia="Bookman Old Style"/>
        </w:rPr>
        <w:tab/>
      </w:r>
      <w:r w:rsidR="00E85947">
        <w:rPr>
          <w:rFonts w:eastAsia="Bookman Old Style"/>
        </w:rPr>
        <w:t>i</w:t>
      </w:r>
      <w:r>
        <w:rPr>
          <w:rFonts w:eastAsia="Bookman Old Style"/>
        </w:rPr>
        <w:t>ndustrialización cerrada</w:t>
      </w:r>
      <w:r w:rsidR="00E85947">
        <w:rPr>
          <w:rFonts w:eastAsia="Bookman Old Style"/>
        </w:rPr>
        <w:t>:</w:t>
      </w:r>
    </w:p>
    <w:p w14:paraId="78EC6519" w14:textId="77777777" w:rsidR="00214356" w:rsidRDefault="00214356" w:rsidP="00E85947">
      <w:pPr>
        <w:pStyle w:val="Deftxt"/>
      </w:pPr>
      <w:r>
        <w:t>Construcción en la que un mismo fabricante produce la mayoría de los componentes industrializados garantizando la compatibilidad entre ellos, estableciendo así mismo unas reglas de diseño que el equipo de desarrollo de proyecto debe asumir.</w:t>
      </w:r>
    </w:p>
    <w:p w14:paraId="1FEF5DEE" w14:textId="2E0CC544" w:rsidR="00E85947" w:rsidRDefault="00E85947">
      <w:pPr>
        <w:widowControl/>
        <w:jc w:val="left"/>
      </w:pPr>
      <w:r>
        <w:br w:type="page"/>
      </w:r>
    </w:p>
    <w:p w14:paraId="3CF33207" w14:textId="1B09D06A" w:rsidR="00214356" w:rsidRDefault="00214356" w:rsidP="00E85947">
      <w:pPr>
        <w:pStyle w:val="Def2tit"/>
        <w:rPr>
          <w:rFonts w:eastAsia="Bookman Old Style"/>
        </w:rPr>
      </w:pPr>
      <w:r>
        <w:rPr>
          <w:rFonts w:eastAsia="Bookman Old Style"/>
        </w:rPr>
        <w:lastRenderedPageBreak/>
        <w:t>2.9</w:t>
      </w:r>
      <w:r>
        <w:rPr>
          <w:rFonts w:eastAsia="Bookman Old Style"/>
        </w:rPr>
        <w:tab/>
      </w:r>
      <w:r w:rsidR="00E85947">
        <w:rPr>
          <w:rFonts w:eastAsia="Bookman Old Style"/>
        </w:rPr>
        <w:t>f</w:t>
      </w:r>
      <w:r>
        <w:rPr>
          <w:rFonts w:eastAsia="Bookman Old Style"/>
        </w:rPr>
        <w:t xml:space="preserve">abricación </w:t>
      </w:r>
      <w:proofErr w:type="spellStart"/>
      <w:r w:rsidRPr="00E85947">
        <w:rPr>
          <w:rFonts w:eastAsia="Bookman Old Style"/>
          <w:i/>
          <w:iCs/>
        </w:rPr>
        <w:t>offsite</w:t>
      </w:r>
      <w:proofErr w:type="spellEnd"/>
      <w:r w:rsidR="00E85947">
        <w:rPr>
          <w:rFonts w:eastAsia="Bookman Old Style"/>
        </w:rPr>
        <w:t>:</w:t>
      </w:r>
    </w:p>
    <w:p w14:paraId="58D303B8" w14:textId="77777777" w:rsidR="00214356" w:rsidRDefault="00214356" w:rsidP="00E85947">
      <w:pPr>
        <w:pStyle w:val="Deftxt"/>
        <w:rPr>
          <w:rFonts w:eastAsia="Bookman Old Style" w:cs="Bookman Old Style"/>
          <w:szCs w:val="24"/>
        </w:rPr>
      </w:pPr>
      <w:r>
        <w:t>Fabricación de componentes industrializados en una instalación industrial, de ubicación diferente a su localización final de uso (generalmente la obra de construcción) bajo un sistema de control de producción en fábrica.</w:t>
      </w:r>
    </w:p>
    <w:p w14:paraId="3D46DC4C" w14:textId="0594FFC9" w:rsidR="00214356" w:rsidRDefault="00214356" w:rsidP="00E85947">
      <w:pPr>
        <w:pStyle w:val="Def2tit"/>
        <w:rPr>
          <w:rFonts w:eastAsia="Bookman Old Style"/>
        </w:rPr>
      </w:pPr>
      <w:r>
        <w:rPr>
          <w:rFonts w:eastAsia="Bookman Old Style"/>
        </w:rPr>
        <w:t>2.10</w:t>
      </w:r>
      <w:r>
        <w:rPr>
          <w:rFonts w:eastAsia="Bookman Old Style"/>
        </w:rPr>
        <w:tab/>
      </w:r>
      <w:r w:rsidR="00E85947">
        <w:rPr>
          <w:rFonts w:eastAsia="Bookman Old Style"/>
        </w:rPr>
        <w:t>í</w:t>
      </w:r>
      <w:r>
        <w:rPr>
          <w:rFonts w:eastAsia="Bookman Old Style"/>
        </w:rPr>
        <w:t>ndice de industrialización del edificio</w:t>
      </w:r>
      <w:r w:rsidR="00E85947">
        <w:rPr>
          <w:rFonts w:eastAsia="Bookman Old Style"/>
        </w:rPr>
        <w:t>,</w:t>
      </w:r>
      <w:r>
        <w:rPr>
          <w:rFonts w:eastAsia="Bookman Old Style"/>
        </w:rPr>
        <w:t xml:space="preserve"> IdI</w:t>
      </w:r>
      <w:r w:rsidR="00E85947">
        <w:rPr>
          <w:rFonts w:eastAsia="Bookman Old Style"/>
        </w:rPr>
        <w:t>:</w:t>
      </w:r>
    </w:p>
    <w:p w14:paraId="627E2B3F" w14:textId="05269A5B" w:rsidR="00214356" w:rsidRDefault="00214356" w:rsidP="00E85947">
      <w:pPr>
        <w:pStyle w:val="Deftxt"/>
      </w:pPr>
      <w:r>
        <w:t>Indicador cuantitativo, expresado en porcentaje, que permite medir la industrialización del edificio o proyecto mediante la relación entre el Presupuesto de Ejecución Material correspondiente a los componentes industrializados y el Presupuesto de Ejecución Material total del proyecto.</w:t>
      </w:r>
    </w:p>
    <w:p w14:paraId="51E3EC8B" w14:textId="5D892968" w:rsidR="00214356" w:rsidRDefault="00214356" w:rsidP="00E85947">
      <w:pPr>
        <w:pStyle w:val="Def2tit"/>
        <w:rPr>
          <w:rFonts w:eastAsia="Bookman Old Style"/>
        </w:rPr>
      </w:pPr>
      <w:r>
        <w:rPr>
          <w:rFonts w:eastAsia="Bookman Old Style"/>
        </w:rPr>
        <w:t>2.11</w:t>
      </w:r>
      <w:r>
        <w:rPr>
          <w:rFonts w:eastAsia="Bookman Old Style"/>
        </w:rPr>
        <w:tab/>
      </w:r>
      <w:r w:rsidR="00E85947">
        <w:rPr>
          <w:rFonts w:eastAsia="Bookman Old Style"/>
        </w:rPr>
        <w:t>g</w:t>
      </w:r>
      <w:r>
        <w:rPr>
          <w:rFonts w:eastAsia="Bookman Old Style"/>
        </w:rPr>
        <w:t>rado de industrialización del edificio</w:t>
      </w:r>
      <w:r w:rsidR="00E85947">
        <w:rPr>
          <w:rFonts w:eastAsia="Bookman Old Style"/>
        </w:rPr>
        <w:t>:</w:t>
      </w:r>
    </w:p>
    <w:p w14:paraId="2FF667B7" w14:textId="77777777" w:rsidR="00214356" w:rsidRDefault="00214356" w:rsidP="00E85947">
      <w:pPr>
        <w:pStyle w:val="Deftxt"/>
      </w:pPr>
      <w:r>
        <w:t>Sistema de clasificación cualitativo de un edificio que puede relacionarse con su índice de industrialización.</w:t>
      </w:r>
    </w:p>
    <w:p w14:paraId="1AF59B71" w14:textId="77777777" w:rsidR="00214356" w:rsidRDefault="00214356" w:rsidP="00214356"/>
    <w:p w14:paraId="258AC981" w14:textId="77777777" w:rsidR="00E85947" w:rsidRDefault="00E85947" w:rsidP="00214356"/>
    <w:p w14:paraId="5B590E39" w14:textId="58612B76" w:rsidR="00214356" w:rsidRDefault="00214356" w:rsidP="00E85947">
      <w:pPr>
        <w:pStyle w:val="Ttulo1s"/>
        <w:spacing w:after="0"/>
      </w:pPr>
      <w:r>
        <w:t>3</w:t>
      </w:r>
      <w:r>
        <w:tab/>
      </w:r>
      <w:proofErr w:type="gramStart"/>
      <w:r>
        <w:rPr>
          <w:rFonts w:eastAsia="Bookman Old Style"/>
        </w:rPr>
        <w:t>Clasificación</w:t>
      </w:r>
      <w:proofErr w:type="gramEnd"/>
    </w:p>
    <w:p w14:paraId="02838830" w14:textId="77777777" w:rsidR="00214356" w:rsidRDefault="00214356" w:rsidP="00214356"/>
    <w:p w14:paraId="0B0C46FF" w14:textId="77777777" w:rsidR="00214356" w:rsidRDefault="00214356" w:rsidP="00E85947">
      <w:pPr>
        <w:pStyle w:val="Ttulo2s"/>
        <w:spacing w:before="0"/>
      </w:pPr>
      <w:r>
        <w:t>3.1</w:t>
      </w:r>
      <w:r>
        <w:tab/>
      </w:r>
      <w:r>
        <w:rPr>
          <w:rFonts w:eastAsia="Bookman Old Style"/>
        </w:rPr>
        <w:t>Generalidades</w:t>
      </w:r>
    </w:p>
    <w:p w14:paraId="710C68E5" w14:textId="03E8749E" w:rsidR="00214356" w:rsidRDefault="00214356" w:rsidP="00214356">
      <w:pPr>
        <w:rPr>
          <w:szCs w:val="24"/>
        </w:rPr>
      </w:pPr>
      <w:r w:rsidRPr="00214356">
        <w:rPr>
          <w:szCs w:val="24"/>
        </w:rPr>
        <w:t>Este capítulo define la clasificación de componentes industrializados atendiendo a sus distintas funciones y su geometría.</w:t>
      </w:r>
    </w:p>
    <w:p w14:paraId="185F1BF7" w14:textId="77777777" w:rsidR="00E85947" w:rsidRPr="00214356" w:rsidRDefault="00E85947" w:rsidP="00214356">
      <w:pPr>
        <w:rPr>
          <w:szCs w:val="24"/>
        </w:rPr>
      </w:pPr>
    </w:p>
    <w:p w14:paraId="04211C3C" w14:textId="5C50EC45" w:rsidR="00214356" w:rsidRPr="00214356" w:rsidRDefault="00214356" w:rsidP="00E85947">
      <w:pPr>
        <w:pStyle w:val="NOTA"/>
      </w:pPr>
      <w:r w:rsidRPr="00214356">
        <w:t>NOTA</w:t>
      </w:r>
      <w:r w:rsidR="00E85947">
        <w:tab/>
      </w:r>
      <w:r w:rsidRPr="00214356">
        <w:t>Las listas de ejemplos de este apartado no son exhaustivas. Cualquier otro componente podría incluirse en la lista siempre y cuando cumpla la definición de componente industrializado de la presente norma.</w:t>
      </w:r>
    </w:p>
    <w:p w14:paraId="3F98C4B4" w14:textId="77777777" w:rsidR="00214356" w:rsidRDefault="00214356" w:rsidP="00E85947">
      <w:pPr>
        <w:pStyle w:val="Ttulo2s"/>
        <w:spacing w:after="0"/>
        <w:rPr>
          <w:rFonts w:eastAsia="Bookman Old Style"/>
        </w:rPr>
      </w:pPr>
      <w:r>
        <w:rPr>
          <w:rFonts w:eastAsia="Bookman Old Style"/>
        </w:rPr>
        <w:t>3.2</w:t>
      </w:r>
      <w:r>
        <w:rPr>
          <w:rFonts w:eastAsia="Bookman Old Style"/>
        </w:rPr>
        <w:tab/>
        <w:t>Según su función o funciones en la edificación</w:t>
      </w:r>
    </w:p>
    <w:p w14:paraId="62BF026F" w14:textId="77777777" w:rsidR="00214356" w:rsidRDefault="00214356" w:rsidP="00214356">
      <w:pPr>
        <w:rPr>
          <w:rFonts w:eastAsia="Bookman Old Style" w:cs="Bookman Old Style"/>
          <w:szCs w:val="24"/>
        </w:rPr>
      </w:pPr>
    </w:p>
    <w:p w14:paraId="54CD3C62" w14:textId="77777777" w:rsidR="00214356" w:rsidRDefault="00214356" w:rsidP="00E85947">
      <w:pPr>
        <w:pStyle w:val="Ttulo3s"/>
      </w:pPr>
      <w:r>
        <w:t>3.2.1</w:t>
      </w:r>
      <w:r>
        <w:tab/>
      </w:r>
      <w:r>
        <w:rPr>
          <w:rFonts w:eastAsia="Bookman Old Style"/>
        </w:rPr>
        <w:t>Generalidades</w:t>
      </w:r>
    </w:p>
    <w:p w14:paraId="681B6AC6" w14:textId="77777777" w:rsidR="00214356" w:rsidRDefault="00214356" w:rsidP="00214356">
      <w:r>
        <w:t>Los componentes industrializados pueden clasificarse atendiendo a su función o funciones en la edificación en la que se integran, según una o varias de las siguientes clases.</w:t>
      </w:r>
    </w:p>
    <w:p w14:paraId="36F04B53" w14:textId="77777777" w:rsidR="00E85947" w:rsidRDefault="00E85947" w:rsidP="00214356"/>
    <w:p w14:paraId="7EDC1B3F" w14:textId="77777777" w:rsidR="00214356" w:rsidRDefault="00214356" w:rsidP="00E85947">
      <w:pPr>
        <w:pStyle w:val="Ttulo3s"/>
        <w:spacing w:after="0"/>
        <w:rPr>
          <w:rFonts w:eastAsia="Bookman Old Style"/>
        </w:rPr>
      </w:pPr>
      <w:r>
        <w:rPr>
          <w:rFonts w:eastAsia="Bookman Old Style"/>
        </w:rPr>
        <w:t>3.2.2</w:t>
      </w:r>
      <w:r>
        <w:rPr>
          <w:rFonts w:eastAsia="Bookman Old Style"/>
        </w:rPr>
        <w:tab/>
        <w:t>Estructurales</w:t>
      </w:r>
    </w:p>
    <w:p w14:paraId="17195A30" w14:textId="77777777" w:rsidR="00E85947" w:rsidRDefault="00E85947" w:rsidP="00214356">
      <w:pPr>
        <w:rPr>
          <w:szCs w:val="24"/>
        </w:rPr>
      </w:pPr>
    </w:p>
    <w:p w14:paraId="5D0E409D" w14:textId="3607BD6F" w:rsidR="00214356" w:rsidRDefault="00214356" w:rsidP="00E85947">
      <w:pPr>
        <w:pStyle w:val="EJEMPLO"/>
      </w:pPr>
      <w:r w:rsidRPr="00214356">
        <w:t>EJEMPLOS</w:t>
      </w:r>
      <w:r w:rsidR="00E85947">
        <w:tab/>
      </w:r>
      <w:r w:rsidRPr="00214356">
        <w:t>Pilares, vigas, forjados, muros portantes, núcleos de escalera y/o ascensores, cimentaciones (zapatas, pilotes), losas de forjado, etc.</w:t>
      </w:r>
    </w:p>
    <w:p w14:paraId="30260DC5" w14:textId="77777777" w:rsidR="00E85947" w:rsidRPr="00214356" w:rsidRDefault="00E85947" w:rsidP="00214356">
      <w:pPr>
        <w:rPr>
          <w:szCs w:val="24"/>
        </w:rPr>
      </w:pPr>
    </w:p>
    <w:p w14:paraId="06D1A347" w14:textId="77777777" w:rsidR="00214356" w:rsidRDefault="00214356" w:rsidP="00E85947">
      <w:pPr>
        <w:pStyle w:val="Ttulo3s"/>
        <w:spacing w:after="0"/>
        <w:rPr>
          <w:rFonts w:eastAsia="Bookman Old Style"/>
        </w:rPr>
      </w:pPr>
      <w:r>
        <w:rPr>
          <w:rFonts w:eastAsia="Bookman Old Style"/>
        </w:rPr>
        <w:t>3.2.3</w:t>
      </w:r>
      <w:r>
        <w:rPr>
          <w:rFonts w:eastAsia="Bookman Old Style"/>
        </w:rPr>
        <w:tab/>
        <w:t>Envolvente</w:t>
      </w:r>
    </w:p>
    <w:p w14:paraId="4CE30396" w14:textId="77777777" w:rsidR="00E85947" w:rsidRDefault="00E85947" w:rsidP="00214356">
      <w:pPr>
        <w:rPr>
          <w:szCs w:val="24"/>
        </w:rPr>
      </w:pPr>
    </w:p>
    <w:p w14:paraId="33717EE9" w14:textId="0CC63150" w:rsidR="00214356" w:rsidRDefault="00214356" w:rsidP="00E85947">
      <w:pPr>
        <w:pStyle w:val="EJEMPLO"/>
      </w:pPr>
      <w:r w:rsidRPr="00214356">
        <w:t>EJEMPLOS</w:t>
      </w:r>
      <w:r w:rsidR="00E85947">
        <w:tab/>
      </w:r>
      <w:r w:rsidRPr="00214356">
        <w:t>Paneles de cerramiento vertical, paneles de cubierta, balcones, carpintería exterior, etc.</w:t>
      </w:r>
    </w:p>
    <w:p w14:paraId="5A9B9065" w14:textId="77777777" w:rsidR="00E85947" w:rsidRPr="00214356" w:rsidRDefault="00E85947" w:rsidP="00214356">
      <w:pPr>
        <w:rPr>
          <w:szCs w:val="24"/>
        </w:rPr>
      </w:pPr>
    </w:p>
    <w:p w14:paraId="241E7941" w14:textId="77777777" w:rsidR="00214356" w:rsidRDefault="00214356" w:rsidP="00E85947">
      <w:pPr>
        <w:pStyle w:val="Ttulo3s"/>
        <w:spacing w:after="0"/>
        <w:rPr>
          <w:rFonts w:eastAsia="Bookman Old Style"/>
        </w:rPr>
      </w:pPr>
      <w:r>
        <w:rPr>
          <w:rFonts w:eastAsia="Bookman Old Style"/>
        </w:rPr>
        <w:t>3.2.4</w:t>
      </w:r>
      <w:r>
        <w:rPr>
          <w:rFonts w:eastAsia="Bookman Old Style"/>
        </w:rPr>
        <w:tab/>
        <w:t>Divisiones interiores</w:t>
      </w:r>
    </w:p>
    <w:p w14:paraId="691DB616" w14:textId="77777777" w:rsidR="00E85947" w:rsidRDefault="00E85947" w:rsidP="00214356">
      <w:pPr>
        <w:rPr>
          <w:szCs w:val="24"/>
        </w:rPr>
      </w:pPr>
    </w:p>
    <w:p w14:paraId="401E6677" w14:textId="6D6E026D" w:rsidR="00214356" w:rsidRDefault="00214356" w:rsidP="00E85947">
      <w:pPr>
        <w:pStyle w:val="EJEMPLO"/>
      </w:pPr>
      <w:r w:rsidRPr="00214356">
        <w:t>EJEMPLOS</w:t>
      </w:r>
      <w:r w:rsidR="00E85947">
        <w:tab/>
      </w:r>
      <w:r w:rsidRPr="00214356">
        <w:t>Tabiques, particiones ligeras, etc.</w:t>
      </w:r>
    </w:p>
    <w:p w14:paraId="0980EB13" w14:textId="77777777" w:rsidR="00E85947" w:rsidRPr="00214356" w:rsidRDefault="00E85947" w:rsidP="00214356">
      <w:pPr>
        <w:rPr>
          <w:szCs w:val="24"/>
        </w:rPr>
      </w:pPr>
    </w:p>
    <w:p w14:paraId="694DB161" w14:textId="1345E413" w:rsidR="00214356" w:rsidRDefault="00214356" w:rsidP="00E85947">
      <w:pPr>
        <w:pStyle w:val="Ttulo3s"/>
        <w:spacing w:after="0"/>
        <w:rPr>
          <w:rFonts w:eastAsia="Bookman Old Style"/>
        </w:rPr>
      </w:pPr>
      <w:r>
        <w:rPr>
          <w:rFonts w:eastAsia="Bookman Old Style"/>
        </w:rPr>
        <w:t>3.2.5</w:t>
      </w:r>
      <w:r>
        <w:rPr>
          <w:rFonts w:eastAsia="Bookman Old Style"/>
        </w:rPr>
        <w:tab/>
        <w:t>Instalaciones</w:t>
      </w:r>
    </w:p>
    <w:p w14:paraId="17AD0EE1" w14:textId="77777777" w:rsidR="00E85947" w:rsidRDefault="00E85947" w:rsidP="00214356">
      <w:pPr>
        <w:rPr>
          <w:szCs w:val="24"/>
        </w:rPr>
      </w:pPr>
    </w:p>
    <w:p w14:paraId="649AC162" w14:textId="1AFA46EB" w:rsidR="00214356" w:rsidRDefault="00214356" w:rsidP="00E85947">
      <w:pPr>
        <w:pStyle w:val="EJEMPLO"/>
      </w:pPr>
      <w:r w:rsidRPr="00214356">
        <w:t>EJEMPLOS</w:t>
      </w:r>
      <w:r w:rsidR="00E85947">
        <w:tab/>
      </w:r>
      <w:r w:rsidRPr="00214356">
        <w:t>Conductos de climatización o ventilación, unidades-3D para aseo o cocina, núcleos de instalaciones verticales, ascensores, etc.</w:t>
      </w:r>
    </w:p>
    <w:p w14:paraId="3549B08B" w14:textId="2CAC50C9" w:rsidR="00E85947" w:rsidRDefault="00E85947">
      <w:pPr>
        <w:widowControl/>
        <w:jc w:val="left"/>
        <w:rPr>
          <w:szCs w:val="24"/>
        </w:rPr>
      </w:pPr>
      <w:r>
        <w:rPr>
          <w:szCs w:val="24"/>
        </w:rPr>
        <w:br w:type="page"/>
      </w:r>
    </w:p>
    <w:p w14:paraId="1FF9C311" w14:textId="521D7250" w:rsidR="00214356" w:rsidRDefault="00214356" w:rsidP="00E85947">
      <w:pPr>
        <w:pStyle w:val="Ttulo3s"/>
        <w:spacing w:after="0"/>
        <w:rPr>
          <w:rFonts w:eastAsia="Bookman Old Style"/>
        </w:rPr>
      </w:pPr>
      <w:r>
        <w:rPr>
          <w:rFonts w:eastAsia="Bookman Old Style"/>
        </w:rPr>
        <w:lastRenderedPageBreak/>
        <w:t>3.2.6</w:t>
      </w:r>
      <w:r>
        <w:rPr>
          <w:rFonts w:eastAsia="Bookman Old Style"/>
        </w:rPr>
        <w:tab/>
        <w:t>Acabados</w:t>
      </w:r>
    </w:p>
    <w:p w14:paraId="2F037EDF" w14:textId="77777777" w:rsidR="00E85947" w:rsidRDefault="00E85947" w:rsidP="00214356">
      <w:pPr>
        <w:rPr>
          <w:szCs w:val="24"/>
        </w:rPr>
      </w:pPr>
    </w:p>
    <w:p w14:paraId="4BBD1D52" w14:textId="74D6E203" w:rsidR="00214356" w:rsidRDefault="00214356" w:rsidP="00E85947">
      <w:pPr>
        <w:pStyle w:val="EJEMPLO"/>
      </w:pPr>
      <w:r w:rsidRPr="00214356">
        <w:t>EJEMPLOS</w:t>
      </w:r>
      <w:r w:rsidR="00E85947">
        <w:tab/>
      </w:r>
      <w:r w:rsidRPr="00214356">
        <w:t>Carpintería industrializada (puertas, ventanas), revestimientos modulares, etc.</w:t>
      </w:r>
    </w:p>
    <w:p w14:paraId="67187143" w14:textId="77777777" w:rsidR="00214356" w:rsidRDefault="00214356" w:rsidP="00E85947">
      <w:pPr>
        <w:pStyle w:val="Ttulo2s"/>
        <w:spacing w:after="0"/>
        <w:rPr>
          <w:rFonts w:eastAsia="Bookman Old Style"/>
        </w:rPr>
      </w:pPr>
      <w:r>
        <w:rPr>
          <w:rFonts w:eastAsia="Bookman Old Style"/>
        </w:rPr>
        <w:t>3.3</w:t>
      </w:r>
      <w:r>
        <w:rPr>
          <w:rFonts w:eastAsia="Bookman Old Style"/>
        </w:rPr>
        <w:tab/>
        <w:t>Según su geometría predominante</w:t>
      </w:r>
    </w:p>
    <w:p w14:paraId="2FBE06E9" w14:textId="77777777" w:rsidR="00214356" w:rsidRDefault="00214356" w:rsidP="00214356">
      <w:pPr>
        <w:rPr>
          <w:rFonts w:eastAsia="Bookman Old Style" w:cs="Bookman Old Style"/>
          <w:szCs w:val="24"/>
        </w:rPr>
      </w:pPr>
    </w:p>
    <w:p w14:paraId="281BDDE1" w14:textId="77777777" w:rsidR="00214356" w:rsidRDefault="00214356" w:rsidP="00E85947">
      <w:pPr>
        <w:pStyle w:val="Ttulo3s"/>
        <w:rPr>
          <w:rFonts w:eastAsia="Bookman Old Style"/>
        </w:rPr>
      </w:pPr>
      <w:r>
        <w:t>3.3.1</w:t>
      </w:r>
      <w:r>
        <w:tab/>
      </w:r>
      <w:r>
        <w:rPr>
          <w:rFonts w:eastAsia="Bookman Old Style"/>
        </w:rPr>
        <w:t>Generalidades</w:t>
      </w:r>
    </w:p>
    <w:p w14:paraId="501BD448" w14:textId="77777777" w:rsidR="00214356" w:rsidRDefault="00214356" w:rsidP="00214356">
      <w:pPr>
        <w:rPr>
          <w:szCs w:val="24"/>
        </w:rPr>
      </w:pPr>
      <w:r w:rsidRPr="00214356">
        <w:rPr>
          <w:szCs w:val="24"/>
        </w:rPr>
        <w:t xml:space="preserve">Los componentes industrializados pueden ser lineales (1D), bidimensionales (2D) o tridimensionales (3D) y combinarse entre sí para la optimización de cada actuación, debiendo acoplarse a la obra </w:t>
      </w:r>
      <w:r w:rsidRPr="00E85947">
        <w:rPr>
          <w:i/>
          <w:iCs/>
          <w:szCs w:val="24"/>
        </w:rPr>
        <w:t>in situ</w:t>
      </w:r>
      <w:r w:rsidRPr="00214356">
        <w:rPr>
          <w:szCs w:val="24"/>
        </w:rPr>
        <w:t>.</w:t>
      </w:r>
    </w:p>
    <w:p w14:paraId="5229B503" w14:textId="77777777" w:rsidR="00E85947" w:rsidRPr="00214356" w:rsidRDefault="00E85947" w:rsidP="00214356">
      <w:pPr>
        <w:rPr>
          <w:szCs w:val="24"/>
        </w:rPr>
      </w:pPr>
    </w:p>
    <w:p w14:paraId="56ABBC4D" w14:textId="77777777" w:rsidR="00214356" w:rsidRDefault="00214356" w:rsidP="00E85947">
      <w:pPr>
        <w:pStyle w:val="Ttulo3s"/>
        <w:rPr>
          <w:rFonts w:eastAsia="Bookman Old Style"/>
        </w:rPr>
      </w:pPr>
      <w:r>
        <w:rPr>
          <w:rFonts w:eastAsia="Bookman Old Style"/>
        </w:rPr>
        <w:t>3.3.2</w:t>
      </w:r>
      <w:r>
        <w:rPr>
          <w:rFonts w:eastAsia="Bookman Old Style"/>
        </w:rPr>
        <w:tab/>
        <w:t>Lineales o unidimensionales (1D)</w:t>
      </w:r>
    </w:p>
    <w:p w14:paraId="1563B044" w14:textId="75D05B97" w:rsidR="00214356" w:rsidRDefault="00214356" w:rsidP="00214356">
      <w:pPr>
        <w:rPr>
          <w:szCs w:val="24"/>
        </w:rPr>
      </w:pPr>
      <w:r w:rsidRPr="00214356">
        <w:rPr>
          <w:szCs w:val="24"/>
        </w:rPr>
        <w:t>Componentes industrializados empleados en el edificio donde, de las tres dimensiones fundamentales (x,</w:t>
      </w:r>
      <w:r w:rsidR="00E85947">
        <w:rPr>
          <w:szCs w:val="24"/>
        </w:rPr>
        <w:t xml:space="preserve"> </w:t>
      </w:r>
      <w:r w:rsidRPr="00214356">
        <w:rPr>
          <w:szCs w:val="24"/>
        </w:rPr>
        <w:t>y,</w:t>
      </w:r>
      <w:r w:rsidR="00E85947">
        <w:rPr>
          <w:szCs w:val="24"/>
        </w:rPr>
        <w:t xml:space="preserve"> </w:t>
      </w:r>
      <w:r w:rsidRPr="00214356">
        <w:rPr>
          <w:szCs w:val="24"/>
        </w:rPr>
        <w:t>z), hay una muy predominante.</w:t>
      </w:r>
    </w:p>
    <w:p w14:paraId="134B04C1" w14:textId="77777777" w:rsidR="00E85947" w:rsidRPr="00214356" w:rsidRDefault="00E85947" w:rsidP="00214356">
      <w:pPr>
        <w:rPr>
          <w:szCs w:val="24"/>
        </w:rPr>
      </w:pPr>
    </w:p>
    <w:p w14:paraId="2C6DCF76" w14:textId="5556AA96" w:rsidR="00214356" w:rsidRDefault="00214356" w:rsidP="00E85947">
      <w:pPr>
        <w:pStyle w:val="Ttulo3s"/>
        <w:rPr>
          <w:rFonts w:eastAsia="Bookman Old Style"/>
        </w:rPr>
      </w:pPr>
      <w:r>
        <w:rPr>
          <w:rFonts w:eastAsia="Bookman Old Style"/>
        </w:rPr>
        <w:t>3.3.3</w:t>
      </w:r>
      <w:r>
        <w:rPr>
          <w:rFonts w:eastAsia="Bookman Old Style"/>
        </w:rPr>
        <w:tab/>
        <w:t>Bidimensionales (2D)</w:t>
      </w:r>
    </w:p>
    <w:p w14:paraId="0BBCA289" w14:textId="77D31D54" w:rsidR="00214356" w:rsidRDefault="00214356" w:rsidP="00214356">
      <w:pPr>
        <w:rPr>
          <w:szCs w:val="24"/>
        </w:rPr>
      </w:pPr>
      <w:r w:rsidRPr="00214356">
        <w:rPr>
          <w:szCs w:val="24"/>
        </w:rPr>
        <w:t>Componentes industrializados empleados en el edificio donde, de las tres dimensiones fundamentales (x,</w:t>
      </w:r>
      <w:r w:rsidR="00E85947">
        <w:rPr>
          <w:szCs w:val="24"/>
        </w:rPr>
        <w:t xml:space="preserve"> </w:t>
      </w:r>
      <w:r w:rsidRPr="00214356">
        <w:rPr>
          <w:szCs w:val="24"/>
        </w:rPr>
        <w:t>y,</w:t>
      </w:r>
      <w:r w:rsidR="00E85947">
        <w:rPr>
          <w:szCs w:val="24"/>
        </w:rPr>
        <w:t xml:space="preserve"> </w:t>
      </w:r>
      <w:r w:rsidRPr="00214356">
        <w:rPr>
          <w:szCs w:val="24"/>
        </w:rPr>
        <w:t>z), hay dos predominantes, dando lugar a componentes superficiales tipo panel o losa.</w:t>
      </w:r>
    </w:p>
    <w:p w14:paraId="2C880494" w14:textId="77777777" w:rsidR="00E85947" w:rsidRPr="00214356" w:rsidRDefault="00E85947" w:rsidP="00214356">
      <w:pPr>
        <w:rPr>
          <w:szCs w:val="24"/>
        </w:rPr>
      </w:pPr>
    </w:p>
    <w:p w14:paraId="5EB40BE1" w14:textId="7919063D" w:rsidR="00214356" w:rsidRPr="00214356" w:rsidRDefault="00214356" w:rsidP="00214356">
      <w:pPr>
        <w:rPr>
          <w:szCs w:val="24"/>
        </w:rPr>
      </w:pPr>
      <w:r w:rsidRPr="00214356">
        <w:rPr>
          <w:szCs w:val="24"/>
        </w:rPr>
        <w:t>Los componentes industrializados 2D pueden diseñarse y fabricarse atendiendo a las funciones definidas en el apartado 3.2 de esta norma.</w:t>
      </w:r>
    </w:p>
    <w:p w14:paraId="3C3893BA" w14:textId="77777777" w:rsidR="00214356" w:rsidRPr="00214356" w:rsidRDefault="00214356" w:rsidP="00214356">
      <w:pPr>
        <w:rPr>
          <w:szCs w:val="24"/>
        </w:rPr>
      </w:pPr>
    </w:p>
    <w:p w14:paraId="61880A01" w14:textId="77777777" w:rsidR="00214356" w:rsidRDefault="00214356" w:rsidP="00E85947">
      <w:pPr>
        <w:pStyle w:val="Ttulo3s"/>
        <w:rPr>
          <w:rFonts w:eastAsia="Bookman Old Style"/>
        </w:rPr>
      </w:pPr>
      <w:r>
        <w:rPr>
          <w:rFonts w:eastAsia="Bookman Old Style"/>
        </w:rPr>
        <w:t>3.3.4</w:t>
      </w:r>
      <w:r>
        <w:rPr>
          <w:rFonts w:eastAsia="Bookman Old Style"/>
        </w:rPr>
        <w:tab/>
        <w:t>Tridimensionales (3D)</w:t>
      </w:r>
    </w:p>
    <w:p w14:paraId="3AF4B47C" w14:textId="2E139296" w:rsidR="00214356" w:rsidRDefault="00214356" w:rsidP="00214356">
      <w:pPr>
        <w:rPr>
          <w:szCs w:val="24"/>
        </w:rPr>
      </w:pPr>
      <w:r w:rsidRPr="00214356">
        <w:rPr>
          <w:szCs w:val="24"/>
        </w:rPr>
        <w:t>Componentes industrializados empleados en el edificio donde, de las tres dimensiones fundamentales (x,</w:t>
      </w:r>
      <w:r w:rsidR="00E85947">
        <w:rPr>
          <w:szCs w:val="24"/>
        </w:rPr>
        <w:t xml:space="preserve"> </w:t>
      </w:r>
      <w:r w:rsidRPr="00214356">
        <w:rPr>
          <w:szCs w:val="24"/>
        </w:rPr>
        <w:t>y,</w:t>
      </w:r>
      <w:r w:rsidR="00E85947">
        <w:rPr>
          <w:szCs w:val="24"/>
        </w:rPr>
        <w:t xml:space="preserve"> </w:t>
      </w:r>
      <w:r w:rsidRPr="00214356">
        <w:rPr>
          <w:szCs w:val="24"/>
        </w:rPr>
        <w:t>z) no hay ninguna predominante, dando lugar a componentes volumétricos completos tipo baños, cocinas, habitaciones o bien unidades completas con diversidad de funciones (por ejemplo, la vivienda).</w:t>
      </w:r>
    </w:p>
    <w:p w14:paraId="5D130ECB" w14:textId="77777777" w:rsidR="00E85947" w:rsidRPr="00214356" w:rsidRDefault="00E85947" w:rsidP="00214356">
      <w:pPr>
        <w:rPr>
          <w:szCs w:val="24"/>
        </w:rPr>
      </w:pPr>
    </w:p>
    <w:p w14:paraId="58BCD701" w14:textId="77777777" w:rsidR="00214356" w:rsidRPr="00214356" w:rsidRDefault="00214356" w:rsidP="00214356">
      <w:pPr>
        <w:rPr>
          <w:szCs w:val="24"/>
        </w:rPr>
      </w:pPr>
      <w:r w:rsidRPr="00214356">
        <w:rPr>
          <w:szCs w:val="24"/>
        </w:rPr>
        <w:t>Los componentes industrializados 3D pueden diseñarse y fabricarse atendiendo a las funciones definidas en el apartado 3.2. de esta norma.</w:t>
      </w:r>
    </w:p>
    <w:p w14:paraId="5F913906" w14:textId="77777777" w:rsidR="00214356" w:rsidRDefault="00214356" w:rsidP="00214356"/>
    <w:p w14:paraId="3F7583C1" w14:textId="77777777" w:rsidR="00E85947" w:rsidRDefault="00E85947" w:rsidP="00214356"/>
    <w:p w14:paraId="61457817" w14:textId="77777777" w:rsidR="00214356" w:rsidRDefault="00214356" w:rsidP="00E85947">
      <w:pPr>
        <w:pStyle w:val="Ttulo1s"/>
      </w:pPr>
      <w:r>
        <w:t>4</w:t>
      </w:r>
      <w:r>
        <w:tab/>
      </w:r>
      <w:proofErr w:type="gramStart"/>
      <w:r>
        <w:t>Método</w:t>
      </w:r>
      <w:proofErr w:type="gramEnd"/>
      <w:r>
        <w:t xml:space="preserve"> de cuantificación del IdI</w:t>
      </w:r>
    </w:p>
    <w:p w14:paraId="411CED30" w14:textId="1464783D" w:rsidR="00214356" w:rsidRDefault="00214356" w:rsidP="00214356">
      <w:r>
        <w:t>Este capítulo establece el procedimiento para el cálculo del Índice de Industrialización (IdI) de un proyecto u obra de edificación.</w:t>
      </w:r>
    </w:p>
    <w:p w14:paraId="6955C7EB" w14:textId="77777777" w:rsidR="00E85947" w:rsidRDefault="00E85947" w:rsidP="00214356"/>
    <w:p w14:paraId="0DC41452" w14:textId="77777777" w:rsidR="00214356" w:rsidRDefault="00214356" w:rsidP="00214356">
      <w:r>
        <w:t>Este índice permite cuantificar la industrialización del proyecto o de la obra mediante la relación entre el Presupuesto de Ejecución Material correspondiente a los componentes industrializados y el Presupuesto de Ejecución Material total del proyecto.</w:t>
      </w:r>
    </w:p>
    <w:p w14:paraId="226EB199" w14:textId="77777777" w:rsidR="00E85947" w:rsidRDefault="00E85947" w:rsidP="00214356"/>
    <w:tbl>
      <w:tblPr>
        <w:tblW w:w="0" w:type="auto"/>
        <w:tblLayout w:type="fixed"/>
        <w:tblCellMar>
          <w:top w:w="113" w:type="dxa"/>
          <w:left w:w="0" w:type="dxa"/>
          <w:bottom w:w="113" w:type="dxa"/>
          <w:right w:w="0" w:type="dxa"/>
        </w:tblCellMar>
        <w:tblLook w:val="04A0" w:firstRow="1" w:lastRow="0" w:firstColumn="1" w:lastColumn="0" w:noHBand="0" w:noVBand="1"/>
      </w:tblPr>
      <w:tblGrid>
        <w:gridCol w:w="426"/>
        <w:gridCol w:w="9212"/>
      </w:tblGrid>
      <w:tr w:rsidR="00E85947" w14:paraId="3C9445E1" w14:textId="77777777" w:rsidTr="00FF2BFB">
        <w:trPr>
          <w:cantSplit/>
        </w:trPr>
        <w:tc>
          <w:tcPr>
            <w:tcW w:w="9638" w:type="dxa"/>
            <w:gridSpan w:val="2"/>
          </w:tcPr>
          <w:p w14:paraId="58CC9C47" w14:textId="3A853FB9" w:rsidR="00E85947" w:rsidRDefault="00E85947" w:rsidP="005B0739">
            <w:pPr>
              <w:jc w:val="center"/>
            </w:pPr>
            <w:r w:rsidRPr="00E85947">
              <w:rPr>
                <w:position w:val="-24"/>
              </w:rPr>
              <w:object w:dxaOrig="3480" w:dyaOrig="700" w14:anchorId="386F0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55pt;height:34.9pt" o:ole="">
                  <v:imagedata r:id="rId8" o:title=""/>
                </v:shape>
                <o:OLEObject Type="Embed" ProgID="Equation.DSMT4" ShapeID="_x0000_i1025" DrawAspect="Content" ObjectID="_1835852604" r:id="rId9"/>
              </w:object>
            </w:r>
          </w:p>
        </w:tc>
      </w:tr>
      <w:tr w:rsidR="00E85947" w14:paraId="6875C7D9" w14:textId="77777777" w:rsidTr="00FF2BFB">
        <w:trPr>
          <w:cantSplit/>
        </w:trPr>
        <w:tc>
          <w:tcPr>
            <w:tcW w:w="9638" w:type="dxa"/>
            <w:gridSpan w:val="2"/>
          </w:tcPr>
          <w:p w14:paraId="1F49ACC5" w14:textId="77777777" w:rsidR="00E85947" w:rsidRDefault="00E85947" w:rsidP="00C7648C">
            <w:r>
              <w:t>donde</w:t>
            </w:r>
          </w:p>
        </w:tc>
      </w:tr>
      <w:tr w:rsidR="00E85947" w14:paraId="4DCDFFB5" w14:textId="77777777" w:rsidTr="006C322D">
        <w:trPr>
          <w:cantSplit/>
        </w:trPr>
        <w:tc>
          <w:tcPr>
            <w:tcW w:w="9638" w:type="dxa"/>
            <w:gridSpan w:val="2"/>
          </w:tcPr>
          <w:p w14:paraId="2A27A412" w14:textId="58005486" w:rsidR="00E85947" w:rsidRPr="00E85947" w:rsidRDefault="00E85947" w:rsidP="00C7648C">
            <w:pPr>
              <w:rPr>
                <w:iCs/>
              </w:rPr>
            </w:pPr>
            <w:r w:rsidRPr="00E85947">
              <w:rPr>
                <w:iCs/>
              </w:rPr>
              <w:t>PEM industrializado: Parte del Presupuesto de Ejecución Material correspondiente a los componentes industrializados, que incluye:</w:t>
            </w:r>
          </w:p>
        </w:tc>
      </w:tr>
      <w:tr w:rsidR="00E85947" w14:paraId="027A0D2B" w14:textId="77777777" w:rsidTr="00E85947">
        <w:trPr>
          <w:cantSplit/>
        </w:trPr>
        <w:tc>
          <w:tcPr>
            <w:tcW w:w="426" w:type="dxa"/>
          </w:tcPr>
          <w:p w14:paraId="72D7B34B" w14:textId="77777777" w:rsidR="00E85947" w:rsidRPr="00E85947" w:rsidRDefault="00E85947" w:rsidP="00C7648C">
            <w:pPr>
              <w:rPr>
                <w:iCs/>
              </w:rPr>
            </w:pPr>
          </w:p>
        </w:tc>
        <w:tc>
          <w:tcPr>
            <w:tcW w:w="9212" w:type="dxa"/>
          </w:tcPr>
          <w:p w14:paraId="7D6EB372" w14:textId="77777777" w:rsidR="00E85947" w:rsidRPr="00E85947" w:rsidRDefault="00E85947" w:rsidP="00250B3A">
            <w:pPr>
              <w:widowControl/>
              <w:tabs>
                <w:tab w:val="left" w:pos="283"/>
              </w:tabs>
              <w:spacing w:after="140"/>
              <w:ind w:left="284" w:hanging="284"/>
              <w:rPr>
                <w:iCs/>
              </w:rPr>
            </w:pPr>
            <w:r w:rsidRPr="00E85947">
              <w:rPr>
                <w:rFonts w:cs="Courier New"/>
                <w:iCs/>
              </w:rPr>
              <w:t>–</w:t>
            </w:r>
            <w:r w:rsidRPr="00E85947">
              <w:rPr>
                <w:rFonts w:cs="Courier New"/>
                <w:iCs/>
              </w:rPr>
              <w:tab/>
            </w:r>
            <w:r w:rsidRPr="00E85947">
              <w:rPr>
                <w:iCs/>
              </w:rPr>
              <w:t>la fabricación del componente en entorno industrial,</w:t>
            </w:r>
          </w:p>
          <w:p w14:paraId="1AE724B6" w14:textId="77777777" w:rsidR="00E85947" w:rsidRPr="00E85947" w:rsidRDefault="00E85947" w:rsidP="00250B3A">
            <w:pPr>
              <w:widowControl/>
              <w:tabs>
                <w:tab w:val="left" w:pos="283"/>
              </w:tabs>
              <w:spacing w:after="140"/>
              <w:ind w:left="284" w:hanging="284"/>
              <w:rPr>
                <w:iCs/>
              </w:rPr>
            </w:pPr>
            <w:r w:rsidRPr="00E85947">
              <w:rPr>
                <w:rFonts w:cs="Courier New"/>
                <w:iCs/>
              </w:rPr>
              <w:t>–</w:t>
            </w:r>
            <w:r w:rsidRPr="00E85947">
              <w:rPr>
                <w:rFonts w:cs="Courier New"/>
                <w:iCs/>
              </w:rPr>
              <w:tab/>
            </w:r>
            <w:r w:rsidRPr="00E85947">
              <w:rPr>
                <w:iCs/>
              </w:rPr>
              <w:t>la logística,</w:t>
            </w:r>
          </w:p>
          <w:p w14:paraId="58063DB4" w14:textId="30781D2E" w:rsidR="00E85947" w:rsidRPr="00E85947" w:rsidRDefault="00E85947" w:rsidP="00E85947">
            <w:pPr>
              <w:widowControl/>
              <w:tabs>
                <w:tab w:val="left" w:pos="283"/>
              </w:tabs>
              <w:ind w:left="283" w:hanging="283"/>
              <w:rPr>
                <w:iCs/>
              </w:rPr>
            </w:pPr>
            <w:r w:rsidRPr="00E85947">
              <w:rPr>
                <w:rFonts w:cs="Courier New"/>
                <w:iCs/>
              </w:rPr>
              <w:t>–</w:t>
            </w:r>
            <w:r w:rsidRPr="00E85947">
              <w:rPr>
                <w:rFonts w:cs="Courier New"/>
                <w:iCs/>
              </w:rPr>
              <w:tab/>
            </w:r>
            <w:r w:rsidRPr="00E85947">
              <w:rPr>
                <w:iCs/>
              </w:rPr>
              <w:t>el montaje y ensamblaje, así como los medios auxiliares necesarios.</w:t>
            </w:r>
          </w:p>
        </w:tc>
      </w:tr>
      <w:tr w:rsidR="00E85947" w14:paraId="419D2595" w14:textId="77777777" w:rsidTr="00B72256">
        <w:trPr>
          <w:cantSplit/>
        </w:trPr>
        <w:tc>
          <w:tcPr>
            <w:tcW w:w="9638" w:type="dxa"/>
            <w:gridSpan w:val="2"/>
          </w:tcPr>
          <w:p w14:paraId="0801A17E" w14:textId="72AED9B3" w:rsidR="00E85947" w:rsidRPr="00E85947" w:rsidRDefault="00E85947" w:rsidP="00C7648C">
            <w:pPr>
              <w:rPr>
                <w:iCs/>
              </w:rPr>
            </w:pPr>
            <w:r w:rsidRPr="00E85947">
              <w:rPr>
                <w:iCs/>
              </w:rPr>
              <w:t>PEM: Presupuesto de Ejecución Material total del edificio, entendido como el coste directo de ejecución material (incluyendo control de calidad y de Seguridad y Salud).</w:t>
            </w:r>
          </w:p>
        </w:tc>
      </w:tr>
    </w:tbl>
    <w:p w14:paraId="710C3032" w14:textId="77777777" w:rsidR="00E85947" w:rsidRDefault="00E85947" w:rsidP="00214356"/>
    <w:p w14:paraId="5DF482A6" w14:textId="77777777" w:rsidR="00214356" w:rsidRDefault="00214356" w:rsidP="00214356">
      <w:r>
        <w:t>Consideraciones de aplicación:</w:t>
      </w:r>
    </w:p>
    <w:p w14:paraId="2A841D2D" w14:textId="77777777" w:rsidR="00E85947" w:rsidRDefault="00E85947" w:rsidP="00214356"/>
    <w:p w14:paraId="0844FE0A" w14:textId="40635403" w:rsidR="00214356" w:rsidRDefault="00E85947" w:rsidP="00E85947">
      <w:pPr>
        <w:widowControl/>
        <w:tabs>
          <w:tab w:val="left" w:pos="283"/>
        </w:tabs>
        <w:ind w:left="283" w:hanging="283"/>
      </w:pPr>
      <w:r>
        <w:t>–</w:t>
      </w:r>
      <w:r w:rsidR="00214356">
        <w:tab/>
        <w:t>El índice se expresa como un porcentaje.</w:t>
      </w:r>
    </w:p>
    <w:p w14:paraId="65F1D69C" w14:textId="77777777" w:rsidR="00E85947" w:rsidRDefault="00E85947" w:rsidP="00E85947">
      <w:pPr>
        <w:widowControl/>
        <w:tabs>
          <w:tab w:val="left" w:pos="283"/>
        </w:tabs>
        <w:ind w:left="283" w:hanging="283"/>
      </w:pPr>
    </w:p>
    <w:p w14:paraId="59D2700A" w14:textId="74F54729" w:rsidR="00214356" w:rsidRDefault="00E85947" w:rsidP="00E85947">
      <w:pPr>
        <w:widowControl/>
        <w:tabs>
          <w:tab w:val="left" w:pos="283"/>
        </w:tabs>
        <w:ind w:left="283" w:hanging="283"/>
      </w:pPr>
      <w:r>
        <w:t>–</w:t>
      </w:r>
      <w:r w:rsidR="00214356">
        <w:tab/>
        <w:t>El cálculo del índice se basa exclusivamente en magnitudes económicas objetivas.</w:t>
      </w:r>
    </w:p>
    <w:p w14:paraId="1BACDE42" w14:textId="77777777" w:rsidR="00E85947" w:rsidRDefault="00E85947" w:rsidP="00E85947">
      <w:pPr>
        <w:widowControl/>
        <w:tabs>
          <w:tab w:val="left" w:pos="283"/>
        </w:tabs>
        <w:ind w:left="283" w:hanging="283"/>
      </w:pPr>
    </w:p>
    <w:p w14:paraId="7921287D" w14:textId="5F0F6140" w:rsidR="00214356" w:rsidRDefault="00E85947" w:rsidP="00E85947">
      <w:pPr>
        <w:widowControl/>
        <w:tabs>
          <w:tab w:val="left" w:pos="283"/>
        </w:tabs>
        <w:ind w:left="283" w:hanging="283"/>
      </w:pPr>
      <w:r>
        <w:t>–</w:t>
      </w:r>
      <w:r w:rsidR="00214356">
        <w:tab/>
        <w:t xml:space="preserve">A efectos de cálculo de este índice, los componentes industrializados deben cumplir con la definición del </w:t>
      </w:r>
      <w:r w:rsidR="0015404D">
        <w:t>apartado</w:t>
      </w:r>
      <w:r w:rsidR="00214356">
        <w:t xml:space="preserve"> 2.2.</w:t>
      </w:r>
    </w:p>
    <w:p w14:paraId="4CD874B9" w14:textId="77777777" w:rsidR="00E85947" w:rsidRDefault="00E85947" w:rsidP="00214356"/>
    <w:p w14:paraId="081B4317" w14:textId="27923679" w:rsidR="00214356" w:rsidRDefault="00214356" w:rsidP="00214356">
      <w:r>
        <w:t xml:space="preserve">En el </w:t>
      </w:r>
      <w:r w:rsidR="00250B3A">
        <w:t>a</w:t>
      </w:r>
      <w:r>
        <w:t>nexo A de esta norma se presenta el IdI</w:t>
      </w:r>
      <w:r w:rsidR="00E85947">
        <w:t xml:space="preserve"> </w:t>
      </w:r>
      <w:r>
        <w:t>desglosado en índices complementarios de fabricación, logística y montaje.</w:t>
      </w:r>
    </w:p>
    <w:p w14:paraId="2C692DBA" w14:textId="77777777" w:rsidR="00E85947" w:rsidRDefault="00E85947" w:rsidP="00214356"/>
    <w:p w14:paraId="18E9909D" w14:textId="77777777" w:rsidR="00214356" w:rsidRDefault="00214356" w:rsidP="00214356"/>
    <w:p w14:paraId="535DA6E8" w14:textId="77777777" w:rsidR="00214356" w:rsidRDefault="00214356" w:rsidP="00E85947">
      <w:pPr>
        <w:pStyle w:val="Ttulo1s"/>
        <w:spacing w:after="0"/>
      </w:pPr>
      <w:r>
        <w:t>5</w:t>
      </w:r>
      <w:r>
        <w:tab/>
      </w:r>
      <w:proofErr w:type="gramStart"/>
      <w:r>
        <w:t>Bibliografía</w:t>
      </w:r>
      <w:proofErr w:type="gramEnd"/>
    </w:p>
    <w:p w14:paraId="758AF327" w14:textId="77777777" w:rsidR="00E85947" w:rsidRDefault="00E85947" w:rsidP="00214356"/>
    <w:p w14:paraId="4AD9043F" w14:textId="37C9C68D" w:rsidR="00214356" w:rsidRDefault="00214356" w:rsidP="00214356">
      <w:r>
        <w:t>UNE 127050:2021</w:t>
      </w:r>
      <w:r w:rsidR="00E85947">
        <w:t>,</w:t>
      </w:r>
      <w:r>
        <w:t xml:space="preserve"> </w:t>
      </w:r>
      <w:r w:rsidR="00EA50F8" w:rsidRPr="00EA50F8">
        <w:rPr>
          <w:i/>
          <w:iCs/>
        </w:rPr>
        <w:t>Sistemas constructivos industrializados para edificios construidos a partir de elementos prefabricados de hormigón. Requisitos de comportamiento, fabricación, instalación y verificación.</w:t>
      </w:r>
    </w:p>
    <w:p w14:paraId="176E0E65" w14:textId="52D2E7A3" w:rsidR="00EA50F8" w:rsidRDefault="00EA50F8">
      <w:pPr>
        <w:widowControl/>
        <w:jc w:val="left"/>
      </w:pPr>
      <w:r>
        <w:br w:type="page"/>
      </w:r>
    </w:p>
    <w:p w14:paraId="7C6BF17F" w14:textId="447286B7" w:rsidR="00214356" w:rsidRDefault="00214356" w:rsidP="00EA50F8">
      <w:pPr>
        <w:pStyle w:val="Anexo"/>
      </w:pPr>
      <w:r>
        <w:lastRenderedPageBreak/>
        <w:t>A</w:t>
      </w:r>
      <w:r w:rsidR="00EA50F8">
        <w:t>nexo</w:t>
      </w:r>
      <w:r>
        <w:t xml:space="preserve"> </w:t>
      </w:r>
      <w:r w:rsidR="00EA50F8">
        <w:t>A</w:t>
      </w:r>
      <w:r>
        <w:t xml:space="preserve"> (</w:t>
      </w:r>
      <w:r w:rsidR="00EA50F8">
        <w:t>I</w:t>
      </w:r>
      <w:r>
        <w:t>nformativo)</w:t>
      </w:r>
      <w:r w:rsidR="00EA50F8">
        <w:br/>
      </w:r>
      <w:r w:rsidR="00EA50F8">
        <w:br/>
      </w:r>
      <w:r>
        <w:t>Índices complementarios al Índice de Industrialización (IdI)</w:t>
      </w:r>
    </w:p>
    <w:p w14:paraId="541C88D3" w14:textId="359C1A9F" w:rsidR="00214356" w:rsidRDefault="00214356" w:rsidP="00EA50F8">
      <w:pPr>
        <w:pStyle w:val="A1"/>
      </w:pPr>
      <w:r>
        <w:t>A.1</w:t>
      </w:r>
      <w:r w:rsidR="00EA50F8">
        <w:tab/>
      </w:r>
      <w:r>
        <w:t>Generalidades</w:t>
      </w:r>
    </w:p>
    <w:p w14:paraId="65B9F1DF" w14:textId="6971152E" w:rsidR="00214356" w:rsidRDefault="00214356" w:rsidP="00214356">
      <w:r>
        <w:t xml:space="preserve">El presente anexo tiene por objeto ampliar la información proporcionada por el Índice de Industrialización (IdI) del </w:t>
      </w:r>
      <w:r w:rsidR="00EA50F8">
        <w:t>c</w:t>
      </w:r>
      <w:r>
        <w:t>apítulo 4 de esta norma, aportando una información complementaria sobre el peso relativo de la fabricación industrial, la logística y el ensamblaje en obra de los componentes industrializados incluidos en el proyecto.</w:t>
      </w:r>
    </w:p>
    <w:p w14:paraId="552AA396" w14:textId="77777777" w:rsidR="00EA50F8" w:rsidRDefault="00EA50F8" w:rsidP="00214356"/>
    <w:p w14:paraId="2980F572" w14:textId="77777777" w:rsidR="00214356" w:rsidRDefault="00214356" w:rsidP="00214356">
      <w:r>
        <w:t>Para ello, se definen una serie de índices complementarios que permiten descomponer el coste del componente industrializado y obtener ratios y porcentajes asociados a cada una de las fases del proceso constructivo.</w:t>
      </w:r>
    </w:p>
    <w:p w14:paraId="2C60203B" w14:textId="77777777" w:rsidR="00EA50F8" w:rsidRDefault="00EA50F8" w:rsidP="00214356"/>
    <w:p w14:paraId="5354CC70" w14:textId="77777777" w:rsidR="00214356" w:rsidRDefault="00214356" w:rsidP="00214356">
      <w:r>
        <w:t>Este anexo tiene carácter informativo, no normativo, y su finalidad es facilitar el análisis, la interpretación y la comparación de soluciones industrializadas desde una perspectiva económica y productiva.</w:t>
      </w:r>
    </w:p>
    <w:p w14:paraId="58E7A125" w14:textId="77777777" w:rsidR="00EA50F8" w:rsidRDefault="00EA50F8" w:rsidP="00214356"/>
    <w:p w14:paraId="1B8729EF" w14:textId="77777777" w:rsidR="00EA50F8" w:rsidRDefault="00EA50F8" w:rsidP="00214356"/>
    <w:p w14:paraId="7733BD1A" w14:textId="37DA1A3D" w:rsidR="00214356" w:rsidRDefault="00214356" w:rsidP="00EA50F8">
      <w:pPr>
        <w:pStyle w:val="A1"/>
      </w:pPr>
      <w:r>
        <w:t>A.2</w:t>
      </w:r>
      <w:r w:rsidR="00EA50F8">
        <w:tab/>
      </w:r>
      <w:r>
        <w:t>Metodología de cálculo</w:t>
      </w:r>
    </w:p>
    <w:p w14:paraId="16EA752D" w14:textId="77777777" w:rsidR="00214356" w:rsidRDefault="00214356" w:rsidP="00214356">
      <w:pPr>
        <w:rPr>
          <w:rFonts w:cs="Calibri"/>
        </w:rPr>
      </w:pPr>
      <w:r>
        <w:rPr>
          <w:rFonts w:cs="Calibri"/>
        </w:rPr>
        <w:t>El coste del componente industrializado se obtiene según la ecuación (A.1):</w:t>
      </w:r>
    </w:p>
    <w:p w14:paraId="19E35D0E" w14:textId="77777777" w:rsidR="00EA50F8" w:rsidRDefault="00EA50F8" w:rsidP="00214356">
      <w:pPr>
        <w:rPr>
          <w:rFonts w:cs="Calibri"/>
        </w:rPr>
      </w:pPr>
    </w:p>
    <w:tbl>
      <w:tblPr>
        <w:tblW w:w="0" w:type="auto"/>
        <w:tblLayout w:type="fixed"/>
        <w:tblCellMar>
          <w:top w:w="113" w:type="dxa"/>
          <w:left w:w="0" w:type="dxa"/>
          <w:bottom w:w="113" w:type="dxa"/>
          <w:right w:w="0" w:type="dxa"/>
        </w:tblCellMar>
        <w:tblLook w:val="04A0" w:firstRow="1" w:lastRow="0" w:firstColumn="1" w:lastColumn="0" w:noHBand="0" w:noVBand="1"/>
      </w:tblPr>
      <w:tblGrid>
        <w:gridCol w:w="8789"/>
        <w:gridCol w:w="849"/>
      </w:tblGrid>
      <w:tr w:rsidR="00EA50F8" w14:paraId="00061150" w14:textId="77777777" w:rsidTr="00FF2BFB">
        <w:trPr>
          <w:cantSplit/>
        </w:trPr>
        <w:tc>
          <w:tcPr>
            <w:tcW w:w="8789" w:type="dxa"/>
            <w:vAlign w:val="center"/>
          </w:tcPr>
          <w:p w14:paraId="5A51F940" w14:textId="7B4ED2CC" w:rsidR="00EA50F8" w:rsidRPr="00EA50F8" w:rsidRDefault="00EA50F8" w:rsidP="000E2C60">
            <w:pPr>
              <w:jc w:val="center"/>
              <w:rPr>
                <w:iCs/>
              </w:rPr>
            </w:pPr>
            <w:r w:rsidRPr="00EA50F8">
              <w:rPr>
                <w:rFonts w:cs="Calibri"/>
                <w:iCs/>
              </w:rPr>
              <w:t xml:space="preserve">Coste Componente Industrializado = </w:t>
            </w:r>
            <w:proofErr w:type="spellStart"/>
            <w:r w:rsidRPr="00EA50F8">
              <w:rPr>
                <w:rFonts w:cs="Calibri"/>
                <w:iCs/>
              </w:rPr>
              <w:t>Coste</w:t>
            </w:r>
            <w:r w:rsidRPr="00EA50F8">
              <w:rPr>
                <w:rFonts w:cs="Calibri"/>
                <w:iCs/>
                <w:vertAlign w:val="subscript"/>
              </w:rPr>
              <w:t>fabricación</w:t>
            </w:r>
            <w:proofErr w:type="spellEnd"/>
            <w:r w:rsidRPr="00EA50F8">
              <w:rPr>
                <w:rFonts w:cs="Calibri"/>
                <w:iCs/>
              </w:rPr>
              <w:t xml:space="preserve"> + </w:t>
            </w:r>
            <w:proofErr w:type="spellStart"/>
            <w:r w:rsidRPr="00EA50F8">
              <w:rPr>
                <w:rFonts w:cs="Calibri"/>
                <w:iCs/>
              </w:rPr>
              <w:t>Coste</w:t>
            </w:r>
            <w:r w:rsidRPr="00EA50F8">
              <w:rPr>
                <w:rFonts w:cs="Calibri"/>
                <w:iCs/>
                <w:vertAlign w:val="subscript"/>
              </w:rPr>
              <w:t>Logística</w:t>
            </w:r>
            <w:proofErr w:type="spellEnd"/>
            <w:r w:rsidRPr="00EA50F8">
              <w:rPr>
                <w:rFonts w:cs="Calibri"/>
                <w:iCs/>
              </w:rPr>
              <w:t xml:space="preserve"> + </w:t>
            </w:r>
            <w:proofErr w:type="spellStart"/>
            <w:r w:rsidRPr="00EA50F8">
              <w:rPr>
                <w:rFonts w:cs="Calibri"/>
                <w:iCs/>
              </w:rPr>
              <w:t>Coste</w:t>
            </w:r>
            <w:r w:rsidR="00082860" w:rsidRPr="00082860">
              <w:rPr>
                <w:rFonts w:cs="Calibri"/>
                <w:iCs/>
                <w:vertAlign w:val="subscript"/>
              </w:rPr>
              <w:t>M</w:t>
            </w:r>
            <w:r w:rsidRPr="00EA50F8">
              <w:rPr>
                <w:rFonts w:cs="Calibri"/>
                <w:iCs/>
                <w:vertAlign w:val="subscript"/>
              </w:rPr>
              <w:t>ontaje</w:t>
            </w:r>
            <w:proofErr w:type="spellEnd"/>
          </w:p>
        </w:tc>
        <w:tc>
          <w:tcPr>
            <w:tcW w:w="849" w:type="dxa"/>
            <w:vAlign w:val="center"/>
          </w:tcPr>
          <w:p w14:paraId="15D3F90C" w14:textId="039D1B39" w:rsidR="00EA50F8" w:rsidRDefault="00EA50F8" w:rsidP="000E2C60">
            <w:pPr>
              <w:jc w:val="right"/>
            </w:pPr>
            <w:r>
              <w:t>(A.1)</w:t>
            </w:r>
          </w:p>
        </w:tc>
      </w:tr>
    </w:tbl>
    <w:p w14:paraId="7F096F9A" w14:textId="77777777" w:rsidR="00EA50F8" w:rsidRDefault="00EA50F8" w:rsidP="00214356">
      <w:pPr>
        <w:rPr>
          <w:rFonts w:cs="Calibri"/>
        </w:rPr>
      </w:pPr>
    </w:p>
    <w:p w14:paraId="35A75842" w14:textId="6BA0FE49" w:rsidR="00214356" w:rsidRPr="0068770B" w:rsidRDefault="00214356" w:rsidP="00214356">
      <w:pPr>
        <w:rPr>
          <w:rFonts w:cs="Calibri"/>
        </w:rPr>
      </w:pPr>
      <w:r>
        <w:rPr>
          <w:rFonts w:cs="Calibri"/>
        </w:rPr>
        <w:t xml:space="preserve">Con el objetivo de caracterizar la distribución del coste del componente industrializado, se definen los </w:t>
      </w:r>
      <w:r w:rsidRPr="0068770B">
        <w:rPr>
          <w:rFonts w:cs="Calibri"/>
        </w:rPr>
        <w:t>siguientes índices complementarios, expresados como porcentajes respecto al Coste Componente Industrializado:</w:t>
      </w:r>
    </w:p>
    <w:p w14:paraId="31D4D828" w14:textId="77777777" w:rsidR="00EA50F8" w:rsidRDefault="00EA50F8" w:rsidP="00214356">
      <w:pPr>
        <w:rPr>
          <w:rFonts w:cs="Calibri"/>
        </w:rPr>
      </w:pPr>
    </w:p>
    <w:p w14:paraId="6FF199CA" w14:textId="16CC5198" w:rsidR="00214356" w:rsidRDefault="00EA50F8" w:rsidP="00EA50F8">
      <w:pPr>
        <w:widowControl/>
        <w:tabs>
          <w:tab w:val="left" w:pos="283"/>
        </w:tabs>
        <w:ind w:left="283" w:hanging="283"/>
        <w:rPr>
          <w:rFonts w:cs="Calibri"/>
        </w:rPr>
      </w:pPr>
      <w:r>
        <w:rPr>
          <w:rFonts w:cs="Calibri"/>
        </w:rPr>
        <w:t>–</w:t>
      </w:r>
      <w:r w:rsidR="00214356">
        <w:rPr>
          <w:rFonts w:cs="Calibri"/>
        </w:rPr>
        <w:tab/>
        <w:t>Índice complementario de Fabricación (ICF)</w:t>
      </w:r>
    </w:p>
    <w:p w14:paraId="2588617E" w14:textId="77777777" w:rsidR="00EA50F8" w:rsidRDefault="00EA50F8" w:rsidP="00214356">
      <w:pPr>
        <w:rPr>
          <w:rFonts w:cs="Calibri"/>
        </w:rPr>
      </w:pPr>
    </w:p>
    <w:tbl>
      <w:tblPr>
        <w:tblW w:w="0" w:type="auto"/>
        <w:tblLayout w:type="fixed"/>
        <w:tblCellMar>
          <w:top w:w="113" w:type="dxa"/>
          <w:left w:w="0" w:type="dxa"/>
          <w:bottom w:w="113" w:type="dxa"/>
          <w:right w:w="0" w:type="dxa"/>
        </w:tblCellMar>
        <w:tblLook w:val="04A0" w:firstRow="1" w:lastRow="0" w:firstColumn="1" w:lastColumn="0" w:noHBand="0" w:noVBand="1"/>
      </w:tblPr>
      <w:tblGrid>
        <w:gridCol w:w="8789"/>
        <w:gridCol w:w="849"/>
      </w:tblGrid>
      <w:tr w:rsidR="00EA50F8" w14:paraId="00579742" w14:textId="77777777" w:rsidTr="00FF2BFB">
        <w:trPr>
          <w:cantSplit/>
        </w:trPr>
        <w:tc>
          <w:tcPr>
            <w:tcW w:w="8789" w:type="dxa"/>
            <w:vAlign w:val="center"/>
          </w:tcPr>
          <w:p w14:paraId="3AE9E980" w14:textId="7B809019" w:rsidR="00EA50F8" w:rsidRDefault="00EA50F8" w:rsidP="000E2C60">
            <w:pPr>
              <w:jc w:val="center"/>
            </w:pPr>
            <w:r w:rsidRPr="00EA50F8">
              <w:rPr>
                <w:position w:val="-34"/>
              </w:rPr>
              <w:object w:dxaOrig="4940" w:dyaOrig="800" w14:anchorId="26A1F3F5">
                <v:shape id="_x0000_i1026" type="#_x0000_t75" style="width:247.65pt;height:40.35pt" o:ole="">
                  <v:imagedata r:id="rId10" o:title=""/>
                </v:shape>
                <o:OLEObject Type="Embed" ProgID="Equation.DSMT4" ShapeID="_x0000_i1026" DrawAspect="Content" ObjectID="_1835852605" r:id="rId11"/>
              </w:object>
            </w:r>
          </w:p>
        </w:tc>
        <w:tc>
          <w:tcPr>
            <w:tcW w:w="849" w:type="dxa"/>
            <w:vAlign w:val="center"/>
          </w:tcPr>
          <w:p w14:paraId="3AAFAB9E" w14:textId="1E6536DF" w:rsidR="00EA50F8" w:rsidRDefault="00EA50F8" w:rsidP="000E2C60">
            <w:pPr>
              <w:jc w:val="right"/>
            </w:pPr>
            <w:r>
              <w:t>(A.2)</w:t>
            </w:r>
          </w:p>
        </w:tc>
      </w:tr>
    </w:tbl>
    <w:p w14:paraId="2E2D7E1A" w14:textId="77777777" w:rsidR="00EA50F8" w:rsidRDefault="00EA50F8" w:rsidP="00214356">
      <w:pPr>
        <w:rPr>
          <w:rFonts w:cs="Calibri"/>
        </w:rPr>
      </w:pPr>
    </w:p>
    <w:p w14:paraId="4EE7E7DD" w14:textId="77777777" w:rsidR="00214356" w:rsidRDefault="00214356" w:rsidP="00214356">
      <w:pPr>
        <w:rPr>
          <w:rFonts w:cs="Calibri"/>
        </w:rPr>
      </w:pPr>
      <w:r>
        <w:rPr>
          <w:rFonts w:cs="Calibri"/>
        </w:rPr>
        <w:t>Este índice complementario representa el peso relativo de la fabricación en entorno industrial dentro del coste total del componente industrializado.</w:t>
      </w:r>
    </w:p>
    <w:p w14:paraId="4484A75E" w14:textId="77777777" w:rsidR="00EA50F8" w:rsidRDefault="00EA50F8" w:rsidP="00214356">
      <w:pPr>
        <w:rPr>
          <w:rFonts w:cs="Calibri"/>
        </w:rPr>
      </w:pPr>
    </w:p>
    <w:p w14:paraId="31B6E4D9" w14:textId="3E2CFC40" w:rsidR="00214356" w:rsidRDefault="00EA50F8" w:rsidP="00EA50F8">
      <w:pPr>
        <w:widowControl/>
        <w:tabs>
          <w:tab w:val="left" w:pos="283"/>
        </w:tabs>
        <w:ind w:left="283" w:hanging="283"/>
        <w:rPr>
          <w:rFonts w:cs="Calibri"/>
        </w:rPr>
      </w:pPr>
      <w:r>
        <w:rPr>
          <w:rFonts w:cs="Calibri"/>
        </w:rPr>
        <w:t>–</w:t>
      </w:r>
      <w:r w:rsidR="00214356">
        <w:rPr>
          <w:rFonts w:cs="Calibri"/>
        </w:rPr>
        <w:tab/>
        <w:t>Índice complementario de Logística (ICL)</w:t>
      </w:r>
    </w:p>
    <w:p w14:paraId="53338B4E" w14:textId="77777777" w:rsidR="00EA50F8" w:rsidRDefault="00EA50F8" w:rsidP="00EA50F8">
      <w:pPr>
        <w:rPr>
          <w:rFonts w:cs="Calibri"/>
        </w:rPr>
      </w:pPr>
    </w:p>
    <w:tbl>
      <w:tblPr>
        <w:tblW w:w="0" w:type="auto"/>
        <w:tblLayout w:type="fixed"/>
        <w:tblCellMar>
          <w:top w:w="113" w:type="dxa"/>
          <w:left w:w="0" w:type="dxa"/>
          <w:bottom w:w="113" w:type="dxa"/>
          <w:right w:w="0" w:type="dxa"/>
        </w:tblCellMar>
        <w:tblLook w:val="04A0" w:firstRow="1" w:lastRow="0" w:firstColumn="1" w:lastColumn="0" w:noHBand="0" w:noVBand="1"/>
      </w:tblPr>
      <w:tblGrid>
        <w:gridCol w:w="8789"/>
        <w:gridCol w:w="849"/>
      </w:tblGrid>
      <w:tr w:rsidR="00EA50F8" w14:paraId="7EA4AD5D" w14:textId="77777777" w:rsidTr="0084029F">
        <w:trPr>
          <w:cantSplit/>
        </w:trPr>
        <w:tc>
          <w:tcPr>
            <w:tcW w:w="8789" w:type="dxa"/>
            <w:vAlign w:val="center"/>
          </w:tcPr>
          <w:p w14:paraId="7B7414B6" w14:textId="528B6D54" w:rsidR="00EA50F8" w:rsidRDefault="00EA50F8" w:rsidP="0084029F">
            <w:pPr>
              <w:jc w:val="center"/>
            </w:pPr>
            <w:r w:rsidRPr="00EA50F8">
              <w:rPr>
                <w:position w:val="-34"/>
              </w:rPr>
              <w:object w:dxaOrig="4940" w:dyaOrig="800" w14:anchorId="52E91766">
                <v:shape id="_x0000_i1027" type="#_x0000_t75" style="width:247.65pt;height:40.35pt" o:ole="">
                  <v:imagedata r:id="rId12" o:title=""/>
                </v:shape>
                <o:OLEObject Type="Embed" ProgID="Equation.DSMT4" ShapeID="_x0000_i1027" DrawAspect="Content" ObjectID="_1835852606" r:id="rId13"/>
              </w:object>
            </w:r>
          </w:p>
        </w:tc>
        <w:tc>
          <w:tcPr>
            <w:tcW w:w="849" w:type="dxa"/>
            <w:vAlign w:val="center"/>
          </w:tcPr>
          <w:p w14:paraId="2F4B811B" w14:textId="4CB5D08C" w:rsidR="00EA50F8" w:rsidRDefault="00EA50F8" w:rsidP="0084029F">
            <w:pPr>
              <w:jc w:val="right"/>
            </w:pPr>
            <w:r>
              <w:t>(A.3)</w:t>
            </w:r>
          </w:p>
        </w:tc>
      </w:tr>
    </w:tbl>
    <w:p w14:paraId="28D2E07B" w14:textId="77777777" w:rsidR="00EA50F8" w:rsidRDefault="00EA50F8">
      <w:pPr>
        <w:widowControl/>
        <w:jc w:val="left"/>
        <w:rPr>
          <w:rFonts w:cs="Calibri"/>
        </w:rPr>
      </w:pPr>
      <w:r>
        <w:rPr>
          <w:rFonts w:cs="Calibri"/>
        </w:rPr>
        <w:br w:type="page"/>
      </w:r>
    </w:p>
    <w:p w14:paraId="614F047B" w14:textId="77777777" w:rsidR="00214356" w:rsidRDefault="00214356" w:rsidP="00214356">
      <w:pPr>
        <w:rPr>
          <w:rFonts w:cs="Calibri"/>
        </w:rPr>
      </w:pPr>
      <w:r>
        <w:rPr>
          <w:rFonts w:cs="Calibri"/>
        </w:rPr>
        <w:lastRenderedPageBreak/>
        <w:t>Este índice representa el peso relativo de la logística asociados al componente industrializado.</w:t>
      </w:r>
    </w:p>
    <w:p w14:paraId="10364365" w14:textId="77777777" w:rsidR="00EA50F8" w:rsidRDefault="00EA50F8" w:rsidP="00214356">
      <w:pPr>
        <w:rPr>
          <w:rFonts w:cs="Calibri"/>
        </w:rPr>
      </w:pPr>
    </w:p>
    <w:p w14:paraId="2F6BDFE4" w14:textId="74850C5A" w:rsidR="00214356" w:rsidRDefault="00EA50F8" w:rsidP="00EA50F8">
      <w:pPr>
        <w:widowControl/>
        <w:tabs>
          <w:tab w:val="left" w:pos="283"/>
        </w:tabs>
        <w:ind w:left="283" w:hanging="283"/>
        <w:rPr>
          <w:rFonts w:cs="Calibri"/>
        </w:rPr>
      </w:pPr>
      <w:r>
        <w:rPr>
          <w:rFonts w:cs="Calibri"/>
        </w:rPr>
        <w:t>–</w:t>
      </w:r>
      <w:r w:rsidR="00214356">
        <w:rPr>
          <w:rFonts w:cs="Calibri"/>
        </w:rPr>
        <w:tab/>
        <w:t>Índice complementario de Montaje (ICS)</w:t>
      </w:r>
    </w:p>
    <w:p w14:paraId="0C048741" w14:textId="77777777" w:rsidR="00EA50F8" w:rsidRDefault="00EA50F8" w:rsidP="00214356">
      <w:pPr>
        <w:rPr>
          <w:rFonts w:cs="Calibri"/>
        </w:rPr>
      </w:pPr>
    </w:p>
    <w:tbl>
      <w:tblPr>
        <w:tblW w:w="0" w:type="auto"/>
        <w:tblLayout w:type="fixed"/>
        <w:tblCellMar>
          <w:top w:w="113" w:type="dxa"/>
          <w:left w:w="0" w:type="dxa"/>
          <w:bottom w:w="113" w:type="dxa"/>
          <w:right w:w="0" w:type="dxa"/>
        </w:tblCellMar>
        <w:tblLook w:val="04A0" w:firstRow="1" w:lastRow="0" w:firstColumn="1" w:lastColumn="0" w:noHBand="0" w:noVBand="1"/>
      </w:tblPr>
      <w:tblGrid>
        <w:gridCol w:w="8789"/>
        <w:gridCol w:w="849"/>
      </w:tblGrid>
      <w:tr w:rsidR="00EA50F8" w14:paraId="089F6172" w14:textId="77777777" w:rsidTr="0084029F">
        <w:trPr>
          <w:cantSplit/>
        </w:trPr>
        <w:tc>
          <w:tcPr>
            <w:tcW w:w="8789" w:type="dxa"/>
            <w:vAlign w:val="center"/>
          </w:tcPr>
          <w:p w14:paraId="6B809F4B" w14:textId="5B84FEE6" w:rsidR="00EA50F8" w:rsidRDefault="00EA50F8" w:rsidP="0084029F">
            <w:pPr>
              <w:jc w:val="center"/>
            </w:pPr>
            <w:r w:rsidRPr="00EA50F8">
              <w:rPr>
                <w:position w:val="-34"/>
              </w:rPr>
              <w:object w:dxaOrig="4940" w:dyaOrig="800" w14:anchorId="4AABD282">
                <v:shape id="_x0000_i1028" type="#_x0000_t75" style="width:247.65pt;height:40.35pt" o:ole="">
                  <v:imagedata r:id="rId14" o:title=""/>
                </v:shape>
                <o:OLEObject Type="Embed" ProgID="Equation.DSMT4" ShapeID="_x0000_i1028" DrawAspect="Content" ObjectID="_1835852607" r:id="rId15"/>
              </w:object>
            </w:r>
          </w:p>
        </w:tc>
        <w:tc>
          <w:tcPr>
            <w:tcW w:w="849" w:type="dxa"/>
            <w:vAlign w:val="center"/>
          </w:tcPr>
          <w:p w14:paraId="406BF4E9" w14:textId="54662E98" w:rsidR="00EA50F8" w:rsidRDefault="00EA50F8" w:rsidP="0084029F">
            <w:pPr>
              <w:jc w:val="right"/>
            </w:pPr>
            <w:r>
              <w:t>(A.4)</w:t>
            </w:r>
          </w:p>
        </w:tc>
      </w:tr>
    </w:tbl>
    <w:p w14:paraId="6569FAE0" w14:textId="77777777" w:rsidR="00EA50F8" w:rsidRDefault="00EA50F8" w:rsidP="00EA50F8">
      <w:pPr>
        <w:rPr>
          <w:rFonts w:cs="Calibri"/>
        </w:rPr>
      </w:pPr>
    </w:p>
    <w:p w14:paraId="3367BC7B" w14:textId="77777777" w:rsidR="00214356" w:rsidRDefault="00214356" w:rsidP="00214356">
      <w:pPr>
        <w:rPr>
          <w:rFonts w:cs="Calibri"/>
        </w:rPr>
      </w:pPr>
      <w:r>
        <w:rPr>
          <w:rFonts w:cs="Calibri"/>
        </w:rPr>
        <w:t>Este índice representa el peso relativo del montaje dentro del coste total del componente industrializado.</w:t>
      </w:r>
    </w:p>
    <w:p w14:paraId="4C703843" w14:textId="77777777" w:rsidR="00214356" w:rsidRDefault="00214356" w:rsidP="00214356"/>
    <w:p w14:paraId="1024AD15" w14:textId="77777777" w:rsidR="00476349" w:rsidRPr="009316F3" w:rsidRDefault="00476349" w:rsidP="00476349"/>
    <w:sectPr w:rsidR="00476349" w:rsidRPr="009316F3" w:rsidSect="00214356">
      <w:headerReference w:type="even" r:id="rId16"/>
      <w:headerReference w:type="default" r:id="rId17"/>
      <w:pgSz w:w="11906" w:h="16838" w:code="9"/>
      <w:pgMar w:top="2268" w:right="1134" w:bottom="1134" w:left="1134"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9F21" w14:textId="77777777" w:rsidR="00B823FC" w:rsidRDefault="00B823FC" w:rsidP="00214356">
      <w:r>
        <w:separator/>
      </w:r>
    </w:p>
  </w:endnote>
  <w:endnote w:type="continuationSeparator" w:id="0">
    <w:p w14:paraId="52D8CA58" w14:textId="77777777" w:rsidR="00B823FC" w:rsidRDefault="00B823FC" w:rsidP="0021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B8BE" w14:textId="77777777" w:rsidR="00B823FC" w:rsidRDefault="00B823FC" w:rsidP="00214356">
      <w:r>
        <w:separator/>
      </w:r>
    </w:p>
  </w:footnote>
  <w:footnote w:type="continuationSeparator" w:id="0">
    <w:p w14:paraId="3CA8AD3F" w14:textId="77777777" w:rsidR="00B823FC" w:rsidRDefault="00B823FC" w:rsidP="0021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4441" w14:textId="351F09A2" w:rsidR="00214356" w:rsidRDefault="00214356" w:rsidP="00902822">
    <w:pPr>
      <w:tabs>
        <w:tab w:val="center" w:pos="4820"/>
        <w:tab w:val="right" w:pos="9639"/>
      </w:tabs>
      <w:rPr>
        <w:sz w:val="24"/>
      </w:rPr>
    </w:pPr>
    <w:r>
      <w:rPr>
        <w:sz w:val="24"/>
      </w:rPr>
      <w:t>PNE 41610</w:t>
    </w:r>
    <w:r>
      <w:rPr>
        <w:sz w:val="24"/>
      </w:rPr>
      <w:tab/>
      <w:t xml:space="preserve">- </w:t>
    </w:r>
    <w:r>
      <w:rPr>
        <w:sz w:val="24"/>
      </w:rPr>
      <w:fldChar w:fldCharType="begin"/>
    </w:r>
    <w:r>
      <w:rPr>
        <w:sz w:val="24"/>
      </w:rPr>
      <w:instrText xml:space="preserve"> PAGE </w:instrText>
    </w:r>
    <w:r>
      <w:rPr>
        <w:sz w:val="24"/>
      </w:rPr>
      <w:fldChar w:fldCharType="separate"/>
    </w:r>
    <w:r>
      <w:rPr>
        <w:noProof/>
        <w:sz w:val="24"/>
      </w:rPr>
      <w:t>2</w:t>
    </w:r>
    <w:r>
      <w:rPr>
        <w:sz w:val="24"/>
      </w:rPr>
      <w:fldChar w:fldCharType="end"/>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E3C1" w14:textId="36B21A6A" w:rsidR="00214356" w:rsidRDefault="00214356">
    <w:pPr>
      <w:tabs>
        <w:tab w:val="center" w:pos="4820"/>
        <w:tab w:val="right" w:pos="9639"/>
      </w:tabs>
      <w:rPr>
        <w:sz w:val="24"/>
      </w:rPr>
    </w:pPr>
    <w:r>
      <w:rPr>
        <w:sz w:val="24"/>
      </w:rPr>
      <w:tab/>
      <w:t xml:space="preserve">- </w:t>
    </w:r>
    <w:r>
      <w:rPr>
        <w:sz w:val="24"/>
      </w:rPr>
      <w:fldChar w:fldCharType="begin"/>
    </w:r>
    <w:r>
      <w:rPr>
        <w:sz w:val="24"/>
      </w:rPr>
      <w:instrText xml:space="preserve"> PAGE </w:instrText>
    </w:r>
    <w:r>
      <w:rPr>
        <w:sz w:val="24"/>
      </w:rPr>
      <w:fldChar w:fldCharType="separate"/>
    </w:r>
    <w:r>
      <w:rPr>
        <w:noProof/>
        <w:sz w:val="24"/>
      </w:rPr>
      <w:t>1</w:t>
    </w:r>
    <w:r>
      <w:rPr>
        <w:sz w:val="24"/>
      </w:rPr>
      <w:fldChar w:fldCharType="end"/>
    </w:r>
    <w:r>
      <w:rPr>
        <w:sz w:val="24"/>
      </w:rPr>
      <w:t xml:space="preserve"> -</w:t>
    </w:r>
    <w:r>
      <w:rPr>
        <w:sz w:val="24"/>
      </w:rPr>
      <w:tab/>
      <w:t xml:space="preserve">PNE </w:t>
    </w:r>
    <w:r w:rsidR="00E85947">
      <w:rPr>
        <w:sz w:val="24"/>
      </w:rPr>
      <w:t>41610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DB0CD9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19808DCA"/>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C9B48D66"/>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E37C8A48"/>
    <w:lvl w:ilvl="0">
      <w:start w:val="1"/>
      <w:numFmt w:val="decimal"/>
      <w:lvlText w:val="%1."/>
      <w:lvlJc w:val="left"/>
      <w:pPr>
        <w:tabs>
          <w:tab w:val="num" w:pos="360"/>
        </w:tabs>
        <w:ind w:left="360" w:hanging="360"/>
      </w:pPr>
    </w:lvl>
  </w:abstractNum>
  <w:abstractNum w:abstractNumId="4" w15:restartNumberingAfterBreak="0">
    <w:nsid w:val="11995CC1"/>
    <w:multiLevelType w:val="hybridMultilevel"/>
    <w:tmpl w:val="99BADFC6"/>
    <w:lvl w:ilvl="0" w:tplc="304C63F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87D4433"/>
    <w:multiLevelType w:val="multilevel"/>
    <w:tmpl w:val="60BEEACA"/>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rPr>
    </w:lvl>
    <w:lvl w:ilvl="4">
      <w:start w:val="1"/>
      <w:numFmt w:val="none"/>
      <w:suff w:val="nothing"/>
      <w:lvlText w:val=""/>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6" w15:restartNumberingAfterBreak="0">
    <w:nsid w:val="72880A28"/>
    <w:multiLevelType w:val="multilevel"/>
    <w:tmpl w:val="A07EA92A"/>
    <w:lvl w:ilvl="0">
      <w:start w:val="1"/>
      <w:numFmt w:val="lowerLetter"/>
      <w:lvlText w:val="%1)"/>
      <w:lvlJc w:val="left"/>
      <w:pPr>
        <w:ind w:left="400" w:hanging="400"/>
      </w:pPr>
      <w:rPr>
        <w:rFonts w:hint="default"/>
      </w:rPr>
    </w:lvl>
    <w:lvl w:ilvl="1">
      <w:start w:val="1"/>
      <w:numFmt w:val="decimal"/>
      <w:lvlText w:val="%2)"/>
      <w:lvlJc w:val="left"/>
      <w:pPr>
        <w:ind w:left="800" w:hanging="400"/>
      </w:pPr>
      <w:rPr>
        <w:rFonts w:hint="default"/>
      </w:rPr>
    </w:lvl>
    <w:lvl w:ilvl="2">
      <w:start w:val="1"/>
      <w:numFmt w:val="lowerRoman"/>
      <w:lvlText w:val="%3)"/>
      <w:lvlJc w:val="left"/>
      <w:pPr>
        <w:ind w:left="1200" w:hanging="400"/>
      </w:pPr>
      <w:rPr>
        <w:rFonts w:hint="default"/>
      </w:rPr>
    </w:lvl>
    <w:lvl w:ilvl="3">
      <w:start w:val="1"/>
      <w:numFmt w:val="upperRoman"/>
      <w:lvlText w:val="%4)"/>
      <w:lvlJc w:val="left"/>
      <w:pPr>
        <w:ind w:left="1600" w:hanging="400"/>
      </w:pPr>
      <w:rPr>
        <w:rFonts w:hint="default"/>
      </w:rPr>
    </w:lvl>
    <w:lvl w:ilvl="4">
      <w:start w:val="1"/>
      <w:numFmt w:val="none"/>
      <w:suff w:val="nothing"/>
      <w:lvlText w:val=" "/>
      <w:lvlJc w:val="left"/>
      <w:pPr>
        <w:ind w:left="0" w:firstLine="0"/>
      </w:pPr>
      <w:rPr>
        <w:rFonts w:hint="default"/>
      </w:rPr>
    </w:lvl>
    <w:lvl w:ilvl="5">
      <w:start w:val="1"/>
      <w:numFmt w:val="none"/>
      <w:suff w:val="nothing"/>
      <w:lvlText w:val=" "/>
      <w:lvlJc w:val="left"/>
      <w:pPr>
        <w:ind w:left="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7F930C42"/>
    <w:multiLevelType w:val="hybridMultilevel"/>
    <w:tmpl w:val="C19899A6"/>
    <w:lvl w:ilvl="0" w:tplc="141A9F7C">
      <w:start w:val="1"/>
      <w:numFmt w:val="decimal"/>
      <w:lvlText w:val="[%1]"/>
      <w:lvlJc w:val="left"/>
      <w:pPr>
        <w:tabs>
          <w:tab w:val="num" w:pos="567"/>
        </w:tabs>
        <w:ind w:left="567" w:hanging="567"/>
      </w:pPr>
      <w:rPr>
        <w:rFonts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424692386">
    <w:abstractNumId w:val="4"/>
  </w:num>
  <w:num w:numId="2" w16cid:durableId="1252734317">
    <w:abstractNumId w:val="4"/>
  </w:num>
  <w:num w:numId="3" w16cid:durableId="1124925834">
    <w:abstractNumId w:val="4"/>
  </w:num>
  <w:num w:numId="4" w16cid:durableId="1129326245">
    <w:abstractNumId w:val="4"/>
  </w:num>
  <w:num w:numId="5" w16cid:durableId="1145269750">
    <w:abstractNumId w:val="3"/>
  </w:num>
  <w:num w:numId="6" w16cid:durableId="1264072376">
    <w:abstractNumId w:val="6"/>
  </w:num>
  <w:num w:numId="7" w16cid:durableId="1718771511">
    <w:abstractNumId w:val="2"/>
  </w:num>
  <w:num w:numId="8" w16cid:durableId="152185161">
    <w:abstractNumId w:val="6"/>
  </w:num>
  <w:num w:numId="9" w16cid:durableId="539558902">
    <w:abstractNumId w:val="1"/>
  </w:num>
  <w:num w:numId="10" w16cid:durableId="462385290">
    <w:abstractNumId w:val="6"/>
  </w:num>
  <w:num w:numId="11" w16cid:durableId="522943935">
    <w:abstractNumId w:val="0"/>
  </w:num>
  <w:num w:numId="12" w16cid:durableId="1615790607">
    <w:abstractNumId w:val="6"/>
  </w:num>
  <w:num w:numId="13" w16cid:durableId="588464367">
    <w:abstractNumId w:val="7"/>
  </w:num>
  <w:num w:numId="14" w16cid:durableId="1096679539">
    <w:abstractNumId w:val="5"/>
  </w:num>
  <w:num w:numId="15" w16cid:durableId="2052458341">
    <w:abstractNumId w:val="5"/>
  </w:num>
  <w:num w:numId="16" w16cid:durableId="1597710560">
    <w:abstractNumId w:val="5"/>
  </w:num>
  <w:num w:numId="17" w16cid:durableId="1511025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ocumentProtection w:edit="trackedChanges" w:formatting="1" w:enforcement="1" w:cryptProviderType="rsaAES" w:cryptAlgorithmClass="hash" w:cryptAlgorithmType="typeAny" w:cryptAlgorithmSid="14" w:cryptSpinCount="100000" w:hash="NzABluLwJjpAiA8V6++6YzrE9N303cwIwNCBDIkOLP0nvL1d5C75JDi8G4O7J9eDp415RxRlfHOaaZ+2O7S5yg==" w:salt="Z/BONkQgT7Hipv7+HHRMHw=="/>
  <w:defaultTabStop w:val="709"/>
  <w:hyphenationZone w:val="425"/>
  <w:evenAndOddHeaders/>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26"/>
    <w:rsid w:val="00011CF6"/>
    <w:rsid w:val="00014777"/>
    <w:rsid w:val="00020904"/>
    <w:rsid w:val="00020C2A"/>
    <w:rsid w:val="000210FA"/>
    <w:rsid w:val="0004606B"/>
    <w:rsid w:val="00047361"/>
    <w:rsid w:val="000520CC"/>
    <w:rsid w:val="00082860"/>
    <w:rsid w:val="00100D8B"/>
    <w:rsid w:val="00104476"/>
    <w:rsid w:val="00121923"/>
    <w:rsid w:val="001365AE"/>
    <w:rsid w:val="0015404D"/>
    <w:rsid w:val="00162DA3"/>
    <w:rsid w:val="001632BC"/>
    <w:rsid w:val="00183795"/>
    <w:rsid w:val="00195790"/>
    <w:rsid w:val="00196B93"/>
    <w:rsid w:val="001B7C7A"/>
    <w:rsid w:val="001D3962"/>
    <w:rsid w:val="00214356"/>
    <w:rsid w:val="00244868"/>
    <w:rsid w:val="00250B3A"/>
    <w:rsid w:val="002B04BA"/>
    <w:rsid w:val="002E68D5"/>
    <w:rsid w:val="00302CBC"/>
    <w:rsid w:val="00353F96"/>
    <w:rsid w:val="00387B3A"/>
    <w:rsid w:val="003B4658"/>
    <w:rsid w:val="003B5496"/>
    <w:rsid w:val="003C1A28"/>
    <w:rsid w:val="003D0849"/>
    <w:rsid w:val="003F5E94"/>
    <w:rsid w:val="00436F18"/>
    <w:rsid w:val="00442B0A"/>
    <w:rsid w:val="00451A47"/>
    <w:rsid w:val="00453189"/>
    <w:rsid w:val="00460B3D"/>
    <w:rsid w:val="00461D91"/>
    <w:rsid w:val="00476349"/>
    <w:rsid w:val="00486F76"/>
    <w:rsid w:val="004978E0"/>
    <w:rsid w:val="004A60F0"/>
    <w:rsid w:val="004A7D11"/>
    <w:rsid w:val="004D07C1"/>
    <w:rsid w:val="004D52C7"/>
    <w:rsid w:val="004E11A3"/>
    <w:rsid w:val="004E1858"/>
    <w:rsid w:val="004E4431"/>
    <w:rsid w:val="00530136"/>
    <w:rsid w:val="005351F2"/>
    <w:rsid w:val="00587B1F"/>
    <w:rsid w:val="00595AFE"/>
    <w:rsid w:val="00595FC3"/>
    <w:rsid w:val="005A5364"/>
    <w:rsid w:val="005B061E"/>
    <w:rsid w:val="005B7DE9"/>
    <w:rsid w:val="005C3CCF"/>
    <w:rsid w:val="005C7E82"/>
    <w:rsid w:val="005F5632"/>
    <w:rsid w:val="00634E10"/>
    <w:rsid w:val="0068770B"/>
    <w:rsid w:val="00690D14"/>
    <w:rsid w:val="00697DFE"/>
    <w:rsid w:val="006B453A"/>
    <w:rsid w:val="006C3B12"/>
    <w:rsid w:val="006C42E8"/>
    <w:rsid w:val="006D14B4"/>
    <w:rsid w:val="006D1810"/>
    <w:rsid w:val="006F4DD7"/>
    <w:rsid w:val="00711036"/>
    <w:rsid w:val="007127B1"/>
    <w:rsid w:val="00720FF9"/>
    <w:rsid w:val="00732BB9"/>
    <w:rsid w:val="00741FB9"/>
    <w:rsid w:val="007541E8"/>
    <w:rsid w:val="007546E0"/>
    <w:rsid w:val="00770802"/>
    <w:rsid w:val="00774CB3"/>
    <w:rsid w:val="00786E44"/>
    <w:rsid w:val="00794A0B"/>
    <w:rsid w:val="007A332C"/>
    <w:rsid w:val="007E4CCD"/>
    <w:rsid w:val="007F1FAD"/>
    <w:rsid w:val="00814C72"/>
    <w:rsid w:val="00822BCB"/>
    <w:rsid w:val="00827DE8"/>
    <w:rsid w:val="00896A69"/>
    <w:rsid w:val="008F0271"/>
    <w:rsid w:val="00927C7C"/>
    <w:rsid w:val="009316F3"/>
    <w:rsid w:val="009332EF"/>
    <w:rsid w:val="0097391E"/>
    <w:rsid w:val="00990516"/>
    <w:rsid w:val="009B5A37"/>
    <w:rsid w:val="009E0AFC"/>
    <w:rsid w:val="009F5001"/>
    <w:rsid w:val="00A21375"/>
    <w:rsid w:val="00A3057F"/>
    <w:rsid w:val="00A34407"/>
    <w:rsid w:val="00A4407F"/>
    <w:rsid w:val="00A4580E"/>
    <w:rsid w:val="00A559E4"/>
    <w:rsid w:val="00A75DB8"/>
    <w:rsid w:val="00A76626"/>
    <w:rsid w:val="00AB09C4"/>
    <w:rsid w:val="00AD7386"/>
    <w:rsid w:val="00AE46B5"/>
    <w:rsid w:val="00B10B8D"/>
    <w:rsid w:val="00B47EA0"/>
    <w:rsid w:val="00B7226C"/>
    <w:rsid w:val="00B73FD2"/>
    <w:rsid w:val="00B823FC"/>
    <w:rsid w:val="00B91A41"/>
    <w:rsid w:val="00BA1615"/>
    <w:rsid w:val="00BA4A5B"/>
    <w:rsid w:val="00BA5357"/>
    <w:rsid w:val="00BB0A3D"/>
    <w:rsid w:val="00BC432B"/>
    <w:rsid w:val="00BE13EE"/>
    <w:rsid w:val="00BE7F8A"/>
    <w:rsid w:val="00C06885"/>
    <w:rsid w:val="00C11C0A"/>
    <w:rsid w:val="00C47158"/>
    <w:rsid w:val="00C70A6F"/>
    <w:rsid w:val="00C72DA4"/>
    <w:rsid w:val="00C730EC"/>
    <w:rsid w:val="00C740A5"/>
    <w:rsid w:val="00CC0392"/>
    <w:rsid w:val="00D06B68"/>
    <w:rsid w:val="00D20399"/>
    <w:rsid w:val="00D24043"/>
    <w:rsid w:val="00D41FB3"/>
    <w:rsid w:val="00DA5774"/>
    <w:rsid w:val="00DB5525"/>
    <w:rsid w:val="00DC0F8C"/>
    <w:rsid w:val="00DD2FB5"/>
    <w:rsid w:val="00E36938"/>
    <w:rsid w:val="00E43D3E"/>
    <w:rsid w:val="00E451F4"/>
    <w:rsid w:val="00E52106"/>
    <w:rsid w:val="00E545B3"/>
    <w:rsid w:val="00E57B4D"/>
    <w:rsid w:val="00E6194D"/>
    <w:rsid w:val="00E64D8C"/>
    <w:rsid w:val="00E831B9"/>
    <w:rsid w:val="00E85947"/>
    <w:rsid w:val="00E96090"/>
    <w:rsid w:val="00E973EC"/>
    <w:rsid w:val="00EA50F8"/>
    <w:rsid w:val="00EB42D7"/>
    <w:rsid w:val="00EB7011"/>
    <w:rsid w:val="00ED5DDA"/>
    <w:rsid w:val="00EE7F8F"/>
    <w:rsid w:val="00F11A25"/>
    <w:rsid w:val="00F31FAD"/>
    <w:rsid w:val="00F33CB5"/>
    <w:rsid w:val="00F60425"/>
    <w:rsid w:val="00F75C76"/>
    <w:rsid w:val="00F963EF"/>
    <w:rsid w:val="00F9666B"/>
    <w:rsid w:val="00FA195C"/>
    <w:rsid w:val="00FC70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7983"/>
  <w15:chartTrackingRefBased/>
  <w15:docId w15:val="{5E05689A-A54F-4D58-86A3-81BA2C43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8" w:semiHidden="1" w:uiPriority="39" w:unhideWhenUsed="1" w:qFormat="1"/>
    <w:lsdException w:name="toc 9" w:semiHidden="1" w:uiPriority="39" w:unhideWhenUsed="1" w:qFormat="1"/>
    <w:lsdException w:name="header" w:semiHidden="1" w:unhideWhenUsed="1"/>
    <w:lsdException w:name="footer" w:semiHidden="1" w:unhideWhenUsed="1"/>
    <w:lsdException w:name="caption" w:semiHidden="1" w:uiPriority="35" w:unhideWhenUsed="1" w:qFormat="1"/>
    <w:lsdException w:name="List Number" w:semiHidden="1" w:unhideWhenUsed="1" w:qFormat="1"/>
    <w:lsdException w:name="List Number 2" w:semiHidden="1" w:unhideWhenUsed="1" w:qFormat="1"/>
    <w:lsdException w:name="List Number 3" w:semiHidden="1" w:unhideWhenUsed="1" w:qFormat="1"/>
    <w:lsdException w:name="List Number 4" w:semiHidden="1" w:unhideWhenUsed="1" w:qFormat="1"/>
    <w:lsdException w:name="Default Paragraph Font" w:semiHidden="1" w:uiPriority="1"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356"/>
    <w:pPr>
      <w:widowControl w:val="0"/>
      <w:jc w:val="both"/>
    </w:pPr>
    <w:rPr>
      <w:rFonts w:ascii="Cambria" w:hAnsi="Cambria"/>
      <w:sz w:val="22"/>
      <w:lang w:val="es-ES_tradnl"/>
    </w:rPr>
  </w:style>
  <w:style w:type="paragraph" w:styleId="Ttulo1">
    <w:name w:val="heading 1"/>
    <w:basedOn w:val="Normal"/>
    <w:next w:val="Normal"/>
    <w:link w:val="Ttulo1Car"/>
    <w:rsid w:val="003D0849"/>
    <w:pPr>
      <w:keepNext/>
      <w:spacing w:before="240" w:after="60"/>
      <w:outlineLvl w:val="0"/>
    </w:pPr>
    <w:rPr>
      <w:rFonts w:ascii="Arial" w:hAnsi="Arial"/>
      <w:b/>
      <w:kern w:val="28"/>
      <w:sz w:val="28"/>
    </w:rPr>
  </w:style>
  <w:style w:type="paragraph" w:styleId="Ttulo2">
    <w:name w:val="heading 2"/>
    <w:basedOn w:val="Normal"/>
    <w:next w:val="Normal"/>
    <w:link w:val="Ttulo2Car"/>
    <w:rsid w:val="003D0849"/>
    <w:pPr>
      <w:keepNext/>
      <w:outlineLvl w:val="1"/>
    </w:pPr>
    <w:rPr>
      <w:b/>
      <w:sz w:val="24"/>
    </w:rPr>
  </w:style>
  <w:style w:type="paragraph" w:styleId="Ttulo3">
    <w:name w:val="heading 3"/>
    <w:basedOn w:val="Normal"/>
    <w:next w:val="Normal"/>
    <w:link w:val="Ttulo3Car"/>
    <w:rsid w:val="003D0849"/>
    <w:pPr>
      <w:keepNext/>
      <w:jc w:val="center"/>
      <w:outlineLvl w:val="2"/>
    </w:pPr>
    <w:rPr>
      <w:b/>
    </w:rPr>
  </w:style>
  <w:style w:type="paragraph" w:styleId="Ttulo4">
    <w:name w:val="heading 4"/>
    <w:basedOn w:val="Normal"/>
    <w:next w:val="Normal"/>
    <w:link w:val="Ttulo4Car"/>
    <w:rsid w:val="003D0849"/>
    <w:pPr>
      <w:keepNext/>
      <w:outlineLvl w:val="3"/>
    </w:pPr>
    <w:rPr>
      <w:b/>
      <w:sz w:val="24"/>
    </w:rPr>
  </w:style>
  <w:style w:type="paragraph" w:styleId="Ttulo5">
    <w:name w:val="heading 5"/>
    <w:basedOn w:val="Normal"/>
    <w:next w:val="Normal"/>
    <w:link w:val="Ttulo5Car"/>
    <w:semiHidden/>
    <w:unhideWhenUsed/>
    <w:rsid w:val="003D0849"/>
    <w:pPr>
      <w:keepNext/>
      <w:keepLines/>
      <w:spacing w:before="200"/>
      <w:outlineLvl w:val="4"/>
    </w:pPr>
    <w:rPr>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D0849"/>
    <w:rPr>
      <w:rFonts w:ascii="Arial" w:eastAsia="Times New Roman" w:hAnsi="Arial"/>
      <w:b/>
      <w:kern w:val="28"/>
      <w:sz w:val="28"/>
      <w:lang w:val="es-ES_tradnl" w:eastAsia="es-ES"/>
    </w:rPr>
  </w:style>
  <w:style w:type="character" w:customStyle="1" w:styleId="Ttulo2Car">
    <w:name w:val="Título 2 Car"/>
    <w:basedOn w:val="Fuentedeprrafopredeter"/>
    <w:link w:val="Ttulo2"/>
    <w:rsid w:val="003D0849"/>
    <w:rPr>
      <w:rFonts w:eastAsia="Times New Roman"/>
      <w:b/>
      <w:sz w:val="24"/>
      <w:lang w:val="es-ES_tradnl" w:eastAsia="es-ES"/>
    </w:rPr>
  </w:style>
  <w:style w:type="character" w:customStyle="1" w:styleId="Ttulo3Car">
    <w:name w:val="Título 3 Car"/>
    <w:basedOn w:val="Fuentedeprrafopredeter"/>
    <w:link w:val="Ttulo3"/>
    <w:rsid w:val="003D0849"/>
    <w:rPr>
      <w:rFonts w:eastAsia="Times New Roman"/>
      <w:b/>
      <w:lang w:val="es-ES_tradnl" w:eastAsia="es-ES"/>
    </w:rPr>
  </w:style>
  <w:style w:type="character" w:customStyle="1" w:styleId="Ttulo4Car">
    <w:name w:val="Título 4 Car"/>
    <w:basedOn w:val="Fuentedeprrafopredeter"/>
    <w:link w:val="Ttulo4"/>
    <w:rsid w:val="003D0849"/>
    <w:rPr>
      <w:rFonts w:eastAsia="Times New Roman"/>
      <w:b/>
      <w:sz w:val="24"/>
      <w:lang w:val="es-ES_tradnl" w:eastAsia="es-ES"/>
    </w:rPr>
  </w:style>
  <w:style w:type="character" w:customStyle="1" w:styleId="Ttulo5Car">
    <w:name w:val="Título 5 Car"/>
    <w:basedOn w:val="Fuentedeprrafopredeter"/>
    <w:link w:val="Ttulo5"/>
    <w:semiHidden/>
    <w:rsid w:val="003D0849"/>
    <w:rPr>
      <w:rFonts w:ascii="Cambria" w:eastAsia="Times New Roman" w:hAnsi="Cambria" w:cs="Times New Roman"/>
      <w:color w:val="243F60"/>
      <w:lang w:val="es-ES_tradnl" w:eastAsia="es-ES"/>
    </w:rPr>
  </w:style>
  <w:style w:type="table" w:customStyle="1" w:styleId="Tablanormas">
    <w:name w:val="Tabla normas"/>
    <w:basedOn w:val="Tablanormal"/>
    <w:uiPriority w:val="99"/>
    <w:qFormat/>
    <w:rsid w:val="00F11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noWrap/>
    </w:tcPr>
  </w:style>
  <w:style w:type="paragraph" w:styleId="TDC1">
    <w:name w:val="toc 1"/>
    <w:basedOn w:val="Normal"/>
    <w:next w:val="Normal"/>
    <w:autoRedefine/>
    <w:uiPriority w:val="39"/>
    <w:semiHidden/>
    <w:unhideWhenUsed/>
    <w:qFormat/>
    <w:rsid w:val="00214356"/>
    <w:pPr>
      <w:keepLines/>
      <w:tabs>
        <w:tab w:val="left" w:pos="1418"/>
        <w:tab w:val="right" w:leader="dot" w:pos="8930"/>
      </w:tabs>
      <w:spacing w:before="200"/>
      <w:ind w:left="1418" w:right="1276" w:hanging="851"/>
      <w:jc w:val="left"/>
    </w:pPr>
    <w:rPr>
      <w:b/>
    </w:rPr>
  </w:style>
  <w:style w:type="paragraph" w:styleId="TDC2">
    <w:name w:val="toc 2"/>
    <w:basedOn w:val="Normal"/>
    <w:next w:val="Normal"/>
    <w:autoRedefine/>
    <w:uiPriority w:val="39"/>
    <w:semiHidden/>
    <w:unhideWhenUsed/>
    <w:qFormat/>
    <w:rsid w:val="00214356"/>
    <w:pPr>
      <w:keepLines/>
      <w:tabs>
        <w:tab w:val="left" w:pos="1418"/>
        <w:tab w:val="right" w:leader="dot" w:pos="8930"/>
      </w:tabs>
      <w:ind w:left="1418" w:right="1276" w:hanging="851"/>
      <w:jc w:val="left"/>
    </w:pPr>
    <w:rPr>
      <w:b/>
    </w:rPr>
  </w:style>
  <w:style w:type="paragraph" w:styleId="TDC3">
    <w:name w:val="toc 3"/>
    <w:basedOn w:val="Normal"/>
    <w:next w:val="Normal"/>
    <w:autoRedefine/>
    <w:uiPriority w:val="39"/>
    <w:semiHidden/>
    <w:unhideWhenUsed/>
    <w:qFormat/>
    <w:rsid w:val="00214356"/>
    <w:pPr>
      <w:keepLines/>
      <w:tabs>
        <w:tab w:val="right" w:leader="dot" w:pos="8930"/>
      </w:tabs>
      <w:spacing w:before="60"/>
      <w:ind w:left="567" w:right="1276"/>
      <w:jc w:val="left"/>
    </w:pPr>
    <w:rPr>
      <w:b/>
      <w:szCs w:val="22"/>
      <w:lang w:eastAsia="es-ES_tradnl"/>
    </w:rPr>
  </w:style>
  <w:style w:type="paragraph" w:styleId="TDC8">
    <w:name w:val="toc 8"/>
    <w:basedOn w:val="Normal"/>
    <w:next w:val="Normal"/>
    <w:autoRedefine/>
    <w:uiPriority w:val="39"/>
    <w:semiHidden/>
    <w:unhideWhenUsed/>
    <w:qFormat/>
    <w:rsid w:val="00214356"/>
    <w:pPr>
      <w:keepLines/>
      <w:tabs>
        <w:tab w:val="right" w:leader="dot" w:pos="8930"/>
      </w:tabs>
      <w:spacing w:before="200"/>
      <w:ind w:left="567" w:right="1276"/>
      <w:jc w:val="left"/>
    </w:pPr>
    <w:rPr>
      <w:b/>
    </w:rPr>
  </w:style>
  <w:style w:type="paragraph" w:styleId="TDC9">
    <w:name w:val="toc 9"/>
    <w:basedOn w:val="Normal"/>
    <w:next w:val="Normal"/>
    <w:autoRedefine/>
    <w:uiPriority w:val="39"/>
    <w:semiHidden/>
    <w:unhideWhenUsed/>
    <w:qFormat/>
    <w:rsid w:val="00214356"/>
    <w:pPr>
      <w:keepLines/>
      <w:tabs>
        <w:tab w:val="left" w:pos="3119"/>
        <w:tab w:val="right" w:leader="dot" w:pos="8930"/>
      </w:tabs>
      <w:spacing w:before="200"/>
      <w:ind w:left="3119" w:right="1276" w:hanging="2552"/>
      <w:jc w:val="left"/>
    </w:pPr>
    <w:rPr>
      <w:b/>
    </w:rPr>
  </w:style>
  <w:style w:type="paragraph" w:customStyle="1" w:styleId="Ttulocentro">
    <w:name w:val="Título centro"/>
    <w:basedOn w:val="Normal"/>
    <w:next w:val="Normal"/>
    <w:qFormat/>
    <w:rsid w:val="00214356"/>
    <w:pPr>
      <w:spacing w:after="480"/>
      <w:jc w:val="center"/>
    </w:pPr>
    <w:rPr>
      <w:b/>
      <w:bCs/>
      <w:sz w:val="28"/>
    </w:rPr>
  </w:style>
  <w:style w:type="paragraph" w:customStyle="1" w:styleId="A1">
    <w:name w:val="A.1"/>
    <w:basedOn w:val="Normal"/>
    <w:next w:val="Normal"/>
    <w:qFormat/>
    <w:rsid w:val="00214356"/>
    <w:pPr>
      <w:tabs>
        <w:tab w:val="left" w:pos="709"/>
      </w:tabs>
      <w:spacing w:after="160"/>
    </w:pPr>
    <w:rPr>
      <w:b/>
      <w:sz w:val="26"/>
    </w:rPr>
  </w:style>
  <w:style w:type="paragraph" w:customStyle="1" w:styleId="A11">
    <w:name w:val="A.1.1"/>
    <w:basedOn w:val="Normal"/>
    <w:next w:val="Normal"/>
    <w:qFormat/>
    <w:rsid w:val="00214356"/>
    <w:pPr>
      <w:tabs>
        <w:tab w:val="left" w:pos="851"/>
      </w:tabs>
      <w:spacing w:before="360" w:after="160"/>
    </w:pPr>
    <w:rPr>
      <w:b/>
      <w:sz w:val="24"/>
    </w:rPr>
  </w:style>
  <w:style w:type="paragraph" w:customStyle="1" w:styleId="A111">
    <w:name w:val="A.1.1.1"/>
    <w:basedOn w:val="Normal"/>
    <w:next w:val="Normal"/>
    <w:qFormat/>
    <w:rsid w:val="00214356"/>
    <w:pPr>
      <w:tabs>
        <w:tab w:val="left" w:pos="993"/>
      </w:tabs>
      <w:spacing w:after="160"/>
    </w:pPr>
    <w:rPr>
      <w:b/>
    </w:rPr>
  </w:style>
  <w:style w:type="paragraph" w:customStyle="1" w:styleId="Anexo">
    <w:name w:val="Anexo"/>
    <w:basedOn w:val="Normal"/>
    <w:next w:val="Normal"/>
    <w:qFormat/>
    <w:rsid w:val="00214356"/>
    <w:pPr>
      <w:spacing w:after="760"/>
      <w:jc w:val="center"/>
    </w:pPr>
    <w:rPr>
      <w:b/>
      <w:sz w:val="28"/>
    </w:rPr>
  </w:style>
  <w:style w:type="paragraph" w:customStyle="1" w:styleId="AnexoZ">
    <w:name w:val="Anexo Z"/>
    <w:basedOn w:val="Normal"/>
    <w:next w:val="Normal"/>
    <w:qFormat/>
    <w:rsid w:val="00214356"/>
    <w:pPr>
      <w:spacing w:after="760"/>
      <w:jc w:val="center"/>
    </w:pPr>
    <w:rPr>
      <w:b/>
      <w:sz w:val="28"/>
    </w:rPr>
  </w:style>
  <w:style w:type="paragraph" w:customStyle="1" w:styleId="ZA1">
    <w:name w:val="ZA.1"/>
    <w:basedOn w:val="A1"/>
    <w:next w:val="Normal"/>
    <w:qFormat/>
    <w:rsid w:val="00214356"/>
  </w:style>
  <w:style w:type="paragraph" w:customStyle="1" w:styleId="ZA11">
    <w:name w:val="ZA.1.1"/>
    <w:basedOn w:val="A11"/>
    <w:next w:val="Normal"/>
    <w:qFormat/>
    <w:rsid w:val="00214356"/>
  </w:style>
  <w:style w:type="paragraph" w:customStyle="1" w:styleId="ZA111">
    <w:name w:val="ZA.1.1.1"/>
    <w:basedOn w:val="A111"/>
    <w:next w:val="Normal"/>
    <w:qFormat/>
    <w:rsid w:val="00214356"/>
    <w:pPr>
      <w:tabs>
        <w:tab w:val="left" w:pos="964"/>
      </w:tabs>
    </w:pPr>
  </w:style>
  <w:style w:type="paragraph" w:customStyle="1" w:styleId="EJEMPLO">
    <w:name w:val="EJEMPLO"/>
    <w:basedOn w:val="Normal"/>
    <w:next w:val="Normal"/>
    <w:qFormat/>
    <w:rsid w:val="00214356"/>
    <w:pPr>
      <w:tabs>
        <w:tab w:val="left" w:pos="1134"/>
      </w:tabs>
      <w:ind w:left="1134" w:hanging="1134"/>
    </w:pPr>
    <w:rPr>
      <w:sz w:val="20"/>
      <w:szCs w:val="16"/>
    </w:rPr>
  </w:style>
  <w:style w:type="paragraph" w:customStyle="1" w:styleId="NOTA">
    <w:name w:val="NOTA"/>
    <w:basedOn w:val="Normal"/>
    <w:next w:val="Normal"/>
    <w:qFormat/>
    <w:rsid w:val="00214356"/>
    <w:pPr>
      <w:tabs>
        <w:tab w:val="left" w:pos="567"/>
      </w:tabs>
      <w:ind w:left="567" w:hanging="567"/>
    </w:pPr>
    <w:rPr>
      <w:sz w:val="18"/>
    </w:rPr>
  </w:style>
  <w:style w:type="paragraph" w:customStyle="1" w:styleId="NOTAX">
    <w:name w:val="NOTA X"/>
    <w:basedOn w:val="Normal"/>
    <w:next w:val="Normal"/>
    <w:qFormat/>
    <w:rsid w:val="00214356"/>
    <w:pPr>
      <w:tabs>
        <w:tab w:val="left" w:pos="709"/>
      </w:tabs>
      <w:ind w:left="709" w:hanging="709"/>
    </w:pPr>
    <w:rPr>
      <w:sz w:val="18"/>
    </w:rPr>
  </w:style>
  <w:style w:type="paragraph" w:customStyle="1" w:styleId="Tablatit">
    <w:name w:val="Tabla(tit)"/>
    <w:basedOn w:val="Normal"/>
    <w:next w:val="Normal"/>
    <w:qFormat/>
    <w:rsid w:val="00214356"/>
    <w:pPr>
      <w:spacing w:after="160"/>
      <w:jc w:val="center"/>
    </w:pPr>
    <w:rPr>
      <w:b/>
    </w:rPr>
  </w:style>
  <w:style w:type="paragraph" w:customStyle="1" w:styleId="Figtit">
    <w:name w:val="Fig(tit)"/>
    <w:basedOn w:val="Normal"/>
    <w:next w:val="Normal"/>
    <w:qFormat/>
    <w:rsid w:val="00214356"/>
    <w:pPr>
      <w:spacing w:before="160"/>
      <w:jc w:val="center"/>
    </w:pPr>
    <w:rPr>
      <w:b/>
    </w:rPr>
  </w:style>
  <w:style w:type="paragraph" w:customStyle="1" w:styleId="A1st">
    <w:name w:val="A.1 st"/>
    <w:basedOn w:val="Normal"/>
    <w:next w:val="Normal"/>
    <w:qFormat/>
    <w:rsid w:val="00214356"/>
    <w:pPr>
      <w:tabs>
        <w:tab w:val="left" w:pos="709"/>
      </w:tabs>
    </w:pPr>
  </w:style>
  <w:style w:type="paragraph" w:customStyle="1" w:styleId="A11st">
    <w:name w:val="A.1.1 st"/>
    <w:basedOn w:val="Normal"/>
    <w:next w:val="Normal"/>
    <w:qFormat/>
    <w:rsid w:val="00214356"/>
    <w:pPr>
      <w:tabs>
        <w:tab w:val="left" w:pos="851"/>
      </w:tabs>
      <w:spacing w:before="360"/>
    </w:pPr>
  </w:style>
  <w:style w:type="paragraph" w:customStyle="1" w:styleId="A111st">
    <w:name w:val="A.1.1.1 st"/>
    <w:basedOn w:val="Normal"/>
    <w:next w:val="Normal"/>
    <w:qFormat/>
    <w:rsid w:val="00214356"/>
    <w:pPr>
      <w:tabs>
        <w:tab w:val="left" w:pos="992"/>
      </w:tabs>
    </w:pPr>
  </w:style>
  <w:style w:type="paragraph" w:customStyle="1" w:styleId="A1111">
    <w:name w:val="A.1.1.1.1"/>
    <w:basedOn w:val="Normal"/>
    <w:next w:val="Normal"/>
    <w:qFormat/>
    <w:rsid w:val="00214356"/>
    <w:pPr>
      <w:tabs>
        <w:tab w:val="left" w:pos="1134"/>
      </w:tabs>
      <w:spacing w:after="160"/>
    </w:pPr>
    <w:rPr>
      <w:b/>
    </w:rPr>
  </w:style>
  <w:style w:type="paragraph" w:customStyle="1" w:styleId="A1111st">
    <w:name w:val="A.1.1.1.1 st"/>
    <w:basedOn w:val="Normal"/>
    <w:next w:val="Normal"/>
    <w:qFormat/>
    <w:rsid w:val="00214356"/>
    <w:pPr>
      <w:tabs>
        <w:tab w:val="left" w:pos="1134"/>
      </w:tabs>
    </w:pPr>
  </w:style>
  <w:style w:type="paragraph" w:customStyle="1" w:styleId="Def2tit">
    <w:name w:val="Def 2(tit)"/>
    <w:basedOn w:val="Normal"/>
    <w:next w:val="Normal"/>
    <w:qFormat/>
    <w:rsid w:val="00214356"/>
    <w:pPr>
      <w:tabs>
        <w:tab w:val="left" w:pos="567"/>
      </w:tabs>
      <w:spacing w:before="300"/>
    </w:pPr>
    <w:rPr>
      <w:b/>
    </w:rPr>
  </w:style>
  <w:style w:type="paragraph" w:customStyle="1" w:styleId="Def3tit">
    <w:name w:val="Def 3(tit)"/>
    <w:basedOn w:val="Normal"/>
    <w:next w:val="Normal"/>
    <w:qFormat/>
    <w:rsid w:val="00214356"/>
    <w:pPr>
      <w:tabs>
        <w:tab w:val="left" w:pos="709"/>
      </w:tabs>
      <w:spacing w:before="300"/>
    </w:pPr>
    <w:rPr>
      <w:b/>
    </w:rPr>
  </w:style>
  <w:style w:type="paragraph" w:customStyle="1" w:styleId="Figley">
    <w:name w:val="Fig(ley)"/>
    <w:basedOn w:val="Normal"/>
    <w:next w:val="Normal"/>
    <w:qFormat/>
    <w:rsid w:val="00214356"/>
    <w:rPr>
      <w:sz w:val="18"/>
    </w:rPr>
  </w:style>
  <w:style w:type="paragraph" w:customStyle="1" w:styleId="Ttulo2sst">
    <w:name w:val="Título 2s (st)"/>
    <w:basedOn w:val="Normal"/>
    <w:next w:val="Normal"/>
    <w:qFormat/>
    <w:rsid w:val="00214356"/>
    <w:pPr>
      <w:tabs>
        <w:tab w:val="left" w:pos="709"/>
      </w:tabs>
      <w:spacing w:before="360"/>
    </w:pPr>
  </w:style>
  <w:style w:type="paragraph" w:customStyle="1" w:styleId="Ttulo3sst">
    <w:name w:val="Título 3s (st)"/>
    <w:basedOn w:val="Normal"/>
    <w:next w:val="Normal"/>
    <w:qFormat/>
    <w:rsid w:val="00214356"/>
    <w:pPr>
      <w:tabs>
        <w:tab w:val="left" w:pos="851"/>
      </w:tabs>
    </w:pPr>
  </w:style>
  <w:style w:type="paragraph" w:customStyle="1" w:styleId="Ttulo4sst">
    <w:name w:val="Título 4s (st)"/>
    <w:basedOn w:val="Normal"/>
    <w:next w:val="Normal"/>
    <w:qFormat/>
    <w:rsid w:val="00214356"/>
    <w:pPr>
      <w:tabs>
        <w:tab w:val="left" w:pos="992"/>
      </w:tabs>
    </w:pPr>
  </w:style>
  <w:style w:type="paragraph" w:customStyle="1" w:styleId="Ttulo5sst">
    <w:name w:val="Título 5s (st)"/>
    <w:basedOn w:val="Normal"/>
    <w:next w:val="Normal"/>
    <w:qFormat/>
    <w:rsid w:val="00214356"/>
    <w:pPr>
      <w:tabs>
        <w:tab w:val="left" w:pos="1134"/>
      </w:tabs>
    </w:pPr>
  </w:style>
  <w:style w:type="paragraph" w:customStyle="1" w:styleId="Indicetit">
    <w:name w:val="Indice(tit)"/>
    <w:basedOn w:val="Normal"/>
    <w:next w:val="Normal"/>
    <w:qFormat/>
    <w:rsid w:val="00214356"/>
    <w:pPr>
      <w:spacing w:after="480"/>
      <w:jc w:val="center"/>
    </w:pPr>
    <w:rPr>
      <w:b/>
      <w:bCs/>
      <w:sz w:val="28"/>
    </w:rPr>
  </w:style>
  <w:style w:type="paragraph" w:customStyle="1" w:styleId="ZA1st">
    <w:name w:val="ZA.1 st"/>
    <w:basedOn w:val="A1st"/>
    <w:next w:val="Normal"/>
    <w:qFormat/>
    <w:rsid w:val="00214356"/>
  </w:style>
  <w:style w:type="paragraph" w:customStyle="1" w:styleId="ZA11st">
    <w:name w:val="ZA.1.1 st"/>
    <w:basedOn w:val="A11st"/>
    <w:next w:val="Normal"/>
    <w:qFormat/>
    <w:rsid w:val="00214356"/>
  </w:style>
  <w:style w:type="paragraph" w:customStyle="1" w:styleId="ZA111st">
    <w:name w:val="ZA.1.1.1 st"/>
    <w:basedOn w:val="A111st"/>
    <w:next w:val="Normal"/>
    <w:qFormat/>
    <w:rsid w:val="00214356"/>
    <w:pPr>
      <w:tabs>
        <w:tab w:val="left" w:pos="964"/>
      </w:tabs>
    </w:pPr>
  </w:style>
  <w:style w:type="paragraph" w:customStyle="1" w:styleId="ZA1111">
    <w:name w:val="ZA.1.1.1.1"/>
    <w:basedOn w:val="A1111"/>
    <w:next w:val="Normal"/>
    <w:qFormat/>
    <w:rsid w:val="00214356"/>
    <w:pPr>
      <w:tabs>
        <w:tab w:val="left" w:pos="1106"/>
      </w:tabs>
    </w:pPr>
  </w:style>
  <w:style w:type="paragraph" w:customStyle="1" w:styleId="ZA1111st">
    <w:name w:val="ZA.1.1.1.1 st"/>
    <w:basedOn w:val="A1111st"/>
    <w:next w:val="Normal"/>
    <w:qFormat/>
    <w:rsid w:val="00214356"/>
    <w:pPr>
      <w:tabs>
        <w:tab w:val="left" w:pos="1106"/>
      </w:tabs>
    </w:pPr>
  </w:style>
  <w:style w:type="paragraph" w:customStyle="1" w:styleId="Notapietxt">
    <w:name w:val="Notapie(txt)"/>
    <w:basedOn w:val="Normal"/>
    <w:next w:val="Normal"/>
    <w:qFormat/>
    <w:rsid w:val="00214356"/>
    <w:pPr>
      <w:tabs>
        <w:tab w:val="left" w:pos="284"/>
      </w:tabs>
      <w:ind w:left="284" w:hanging="284"/>
    </w:pPr>
    <w:rPr>
      <w:sz w:val="18"/>
    </w:rPr>
  </w:style>
  <w:style w:type="paragraph" w:customStyle="1" w:styleId="Bibliotxt">
    <w:name w:val="Biblio(txt)"/>
    <w:basedOn w:val="Normal"/>
    <w:next w:val="Normal"/>
    <w:qFormat/>
    <w:rsid w:val="00214356"/>
    <w:pPr>
      <w:tabs>
        <w:tab w:val="left" w:pos="567"/>
      </w:tabs>
      <w:ind w:left="567" w:hanging="567"/>
    </w:pPr>
  </w:style>
  <w:style w:type="paragraph" w:customStyle="1" w:styleId="Ttulo1s">
    <w:name w:val="Título 1s"/>
    <w:basedOn w:val="Ttulo1"/>
    <w:next w:val="Normal"/>
    <w:qFormat/>
    <w:rsid w:val="00214356"/>
    <w:pPr>
      <w:keepNext w:val="0"/>
      <w:tabs>
        <w:tab w:val="left" w:pos="397"/>
      </w:tabs>
      <w:spacing w:before="0" w:after="160"/>
      <w:ind w:left="397" w:hanging="397"/>
    </w:pPr>
    <w:rPr>
      <w:rFonts w:ascii="Cambria" w:hAnsi="Cambria"/>
      <w:bCs/>
      <w:kern w:val="0"/>
      <w:sz w:val="26"/>
      <w:szCs w:val="28"/>
    </w:rPr>
  </w:style>
  <w:style w:type="paragraph" w:customStyle="1" w:styleId="Ttulo2s">
    <w:name w:val="Título 2s"/>
    <w:basedOn w:val="Ttulo2"/>
    <w:next w:val="Normal"/>
    <w:qFormat/>
    <w:rsid w:val="00214356"/>
    <w:pPr>
      <w:keepNext w:val="0"/>
      <w:tabs>
        <w:tab w:val="left" w:pos="709"/>
      </w:tabs>
      <w:spacing w:before="360" w:after="160"/>
    </w:pPr>
    <w:rPr>
      <w:bCs/>
      <w:szCs w:val="26"/>
    </w:rPr>
  </w:style>
  <w:style w:type="paragraph" w:customStyle="1" w:styleId="Ttulo3s">
    <w:name w:val="Título 3s"/>
    <w:basedOn w:val="Ttulo3"/>
    <w:next w:val="Normal"/>
    <w:qFormat/>
    <w:rsid w:val="00214356"/>
    <w:pPr>
      <w:keepNext w:val="0"/>
      <w:tabs>
        <w:tab w:val="left" w:pos="851"/>
      </w:tabs>
      <w:spacing w:after="160"/>
      <w:jc w:val="both"/>
    </w:pPr>
    <w:rPr>
      <w:bCs/>
    </w:rPr>
  </w:style>
  <w:style w:type="paragraph" w:customStyle="1" w:styleId="Deftxt">
    <w:name w:val="Def(txt)"/>
    <w:basedOn w:val="Normal"/>
    <w:next w:val="Normal"/>
    <w:qFormat/>
    <w:rsid w:val="00214356"/>
  </w:style>
  <w:style w:type="paragraph" w:customStyle="1" w:styleId="Ttulo4s">
    <w:name w:val="Título 4s"/>
    <w:basedOn w:val="Ttulo4"/>
    <w:next w:val="Normal"/>
    <w:qFormat/>
    <w:rsid w:val="00214356"/>
    <w:pPr>
      <w:keepNext w:val="0"/>
      <w:tabs>
        <w:tab w:val="left" w:pos="992"/>
      </w:tabs>
      <w:spacing w:after="160"/>
    </w:pPr>
    <w:rPr>
      <w:bCs/>
      <w:iCs/>
      <w:sz w:val="22"/>
    </w:rPr>
  </w:style>
  <w:style w:type="paragraph" w:customStyle="1" w:styleId="Ttulo5s">
    <w:name w:val="Título 5s"/>
    <w:basedOn w:val="Ttulo5"/>
    <w:next w:val="Normal"/>
    <w:qFormat/>
    <w:rsid w:val="00214356"/>
    <w:pPr>
      <w:keepNext w:val="0"/>
      <w:keepLines w:val="0"/>
      <w:tabs>
        <w:tab w:val="left" w:pos="1134"/>
      </w:tabs>
      <w:spacing w:before="0" w:after="160"/>
    </w:pPr>
    <w:rPr>
      <w:b/>
      <w:color w:val="auto"/>
    </w:rPr>
  </w:style>
  <w:style w:type="paragraph" w:customStyle="1" w:styleId="PrlgENtit">
    <w:name w:val="Prlg EN(tit)"/>
    <w:basedOn w:val="Normal"/>
    <w:next w:val="Normal"/>
    <w:qFormat/>
    <w:rsid w:val="00214356"/>
    <w:pPr>
      <w:spacing w:after="480"/>
      <w:jc w:val="center"/>
    </w:pPr>
    <w:rPr>
      <w:b/>
      <w:sz w:val="28"/>
      <w:szCs w:val="28"/>
    </w:rPr>
  </w:style>
  <w:style w:type="paragraph" w:customStyle="1" w:styleId="PrlgINTtit">
    <w:name w:val="Prlg INT(tit)"/>
    <w:basedOn w:val="PrlgENtit"/>
    <w:next w:val="Normal"/>
    <w:qFormat/>
    <w:rsid w:val="00214356"/>
  </w:style>
  <w:style w:type="paragraph" w:customStyle="1" w:styleId="Prlgdecltit">
    <w:name w:val="Prlg decl(tit)"/>
    <w:basedOn w:val="PrlgENtit"/>
    <w:next w:val="Normal"/>
    <w:qFormat/>
    <w:rsid w:val="00214356"/>
    <w:pPr>
      <w:spacing w:before="960"/>
    </w:pPr>
  </w:style>
  <w:style w:type="paragraph" w:customStyle="1" w:styleId="Bibliotit">
    <w:name w:val="Biblio(tit)"/>
    <w:basedOn w:val="Indicetit"/>
    <w:next w:val="Normal"/>
    <w:qFormat/>
    <w:rsid w:val="00214356"/>
  </w:style>
  <w:style w:type="paragraph" w:customStyle="1" w:styleId="React2">
    <w:name w:val="React 2"/>
    <w:basedOn w:val="Ttulo2s"/>
    <w:next w:val="Normal"/>
    <w:qFormat/>
    <w:rsid w:val="00214356"/>
    <w:pPr>
      <w:tabs>
        <w:tab w:val="clear" w:pos="709"/>
        <w:tab w:val="left" w:pos="567"/>
      </w:tabs>
      <w:spacing w:before="300" w:after="0"/>
    </w:pPr>
    <w:rPr>
      <w:b w:val="0"/>
      <w:sz w:val="22"/>
    </w:rPr>
  </w:style>
  <w:style w:type="paragraph" w:customStyle="1" w:styleId="React3">
    <w:name w:val="React 3"/>
    <w:basedOn w:val="Ttulo3s"/>
    <w:next w:val="Normal"/>
    <w:qFormat/>
    <w:rsid w:val="00214356"/>
    <w:pPr>
      <w:spacing w:after="0"/>
    </w:pPr>
    <w:rPr>
      <w:b w:val="0"/>
    </w:rPr>
  </w:style>
  <w:style w:type="paragraph" w:customStyle="1" w:styleId="Llamadatxt">
    <w:name w:val="Llamada(txt)"/>
    <w:basedOn w:val="Notapietxt"/>
    <w:next w:val="Normal"/>
    <w:qFormat/>
    <w:rsid w:val="00214356"/>
    <w:rPr>
      <w:szCs w:val="18"/>
    </w:rPr>
  </w:style>
  <w:style w:type="paragraph" w:customStyle="1" w:styleId="Medidas">
    <w:name w:val="Medidas"/>
    <w:basedOn w:val="Normal"/>
    <w:next w:val="Normal"/>
    <w:qFormat/>
    <w:rsid w:val="00214356"/>
    <w:pPr>
      <w:spacing w:after="200"/>
      <w:jc w:val="right"/>
    </w:pPr>
    <w:rPr>
      <w:sz w:val="18"/>
      <w:szCs w:val="16"/>
    </w:rPr>
  </w:style>
  <w:style w:type="paragraph" w:customStyle="1" w:styleId="Introductit">
    <w:name w:val="Introduc(tit)"/>
    <w:basedOn w:val="PrlgENtit"/>
    <w:next w:val="Normal"/>
    <w:qFormat/>
    <w:rsid w:val="00214356"/>
  </w:style>
  <w:style w:type="paragraph" w:customStyle="1" w:styleId="Aviso">
    <w:name w:val="Aviso"/>
    <w:basedOn w:val="Normal"/>
    <w:next w:val="Normal"/>
    <w:qFormat/>
    <w:rsid w:val="00214356"/>
    <w:rPr>
      <w:b/>
    </w:rPr>
  </w:style>
  <w:style w:type="paragraph" w:customStyle="1" w:styleId="Parfnonum">
    <w:name w:val="Parfnonum"/>
    <w:basedOn w:val="Normal"/>
    <w:qFormat/>
    <w:rsid w:val="00214356"/>
    <w:pPr>
      <w:jc w:val="center"/>
    </w:pPr>
    <w:rPr>
      <w:b/>
      <w:sz w:val="26"/>
    </w:rPr>
  </w:style>
  <w:style w:type="paragraph" w:customStyle="1" w:styleId="Ttulo6s">
    <w:name w:val="Título 6s"/>
    <w:basedOn w:val="Ttulo5s"/>
    <w:next w:val="Normal"/>
    <w:qFormat/>
    <w:rsid w:val="00214356"/>
    <w:pPr>
      <w:tabs>
        <w:tab w:val="clear" w:pos="1134"/>
        <w:tab w:val="left" w:pos="1276"/>
      </w:tabs>
    </w:pPr>
  </w:style>
  <w:style w:type="paragraph" w:customStyle="1" w:styleId="Ttulo6sst">
    <w:name w:val="Título 6s (st)"/>
    <w:basedOn w:val="Ttulo5sst"/>
    <w:next w:val="Normal"/>
    <w:qFormat/>
    <w:rsid w:val="00214356"/>
    <w:pPr>
      <w:tabs>
        <w:tab w:val="clear" w:pos="1134"/>
        <w:tab w:val="left" w:pos="1276"/>
      </w:tabs>
    </w:pPr>
  </w:style>
  <w:style w:type="paragraph" w:customStyle="1" w:styleId="Cambria10">
    <w:name w:val="Cambria10"/>
    <w:basedOn w:val="Normal"/>
    <w:qFormat/>
    <w:rsid w:val="00214356"/>
    <w:rPr>
      <w:sz w:val="20"/>
    </w:rPr>
  </w:style>
  <w:style w:type="paragraph" w:customStyle="1" w:styleId="NOTANACIONAL">
    <w:name w:val="NOTA NACIONAL"/>
    <w:basedOn w:val="NOTAX"/>
    <w:qFormat/>
    <w:rsid w:val="00214356"/>
    <w:pPr>
      <w:tabs>
        <w:tab w:val="clear" w:pos="709"/>
        <w:tab w:val="left" w:pos="1560"/>
      </w:tabs>
      <w:ind w:left="1560" w:hanging="1560"/>
    </w:pPr>
    <w:rPr>
      <w:spacing w:val="-2"/>
    </w:rPr>
  </w:style>
  <w:style w:type="paragraph" w:customStyle="1" w:styleId="NOTAXXX">
    <w:name w:val="NOTA XXX"/>
    <w:basedOn w:val="NOTAX"/>
    <w:qFormat/>
    <w:rsid w:val="00214356"/>
    <w:pPr>
      <w:tabs>
        <w:tab w:val="clear" w:pos="709"/>
      </w:tabs>
      <w:ind w:left="993" w:hanging="993"/>
    </w:pPr>
  </w:style>
  <w:style w:type="paragraph" w:customStyle="1" w:styleId="Def4tit">
    <w:name w:val="Def 4(tit)"/>
    <w:basedOn w:val="Normal"/>
    <w:next w:val="Normal"/>
    <w:qFormat/>
    <w:rsid w:val="00214356"/>
    <w:pPr>
      <w:tabs>
        <w:tab w:val="left" w:pos="851"/>
      </w:tabs>
    </w:pPr>
    <w:rPr>
      <w:b/>
      <w:bCs/>
    </w:rPr>
  </w:style>
  <w:style w:type="paragraph" w:customStyle="1" w:styleId="React4">
    <w:name w:val="React 4"/>
    <w:basedOn w:val="Normal"/>
    <w:next w:val="Normal"/>
    <w:qFormat/>
    <w:rsid w:val="00214356"/>
    <w:pPr>
      <w:tabs>
        <w:tab w:val="left" w:pos="992"/>
      </w:tabs>
    </w:pPr>
  </w:style>
  <w:style w:type="paragraph" w:styleId="Encabezado">
    <w:name w:val="header"/>
    <w:basedOn w:val="Normal"/>
    <w:link w:val="EncabezadoCar"/>
    <w:unhideWhenUsed/>
    <w:rsid w:val="00214356"/>
    <w:pPr>
      <w:tabs>
        <w:tab w:val="center" w:pos="4252"/>
        <w:tab w:val="right" w:pos="8504"/>
      </w:tabs>
    </w:pPr>
  </w:style>
  <w:style w:type="character" w:customStyle="1" w:styleId="EncabezadoCar">
    <w:name w:val="Encabezado Car"/>
    <w:basedOn w:val="Fuentedeprrafopredeter"/>
    <w:link w:val="Encabezado"/>
    <w:rsid w:val="00214356"/>
    <w:rPr>
      <w:rFonts w:ascii="Cambria" w:hAnsi="Cambria"/>
      <w:sz w:val="22"/>
      <w:lang w:val="es-ES_tradnl"/>
    </w:rPr>
  </w:style>
  <w:style w:type="paragraph" w:styleId="Piedepgina">
    <w:name w:val="footer"/>
    <w:basedOn w:val="Normal"/>
    <w:link w:val="PiedepginaCar"/>
    <w:unhideWhenUsed/>
    <w:rsid w:val="00214356"/>
    <w:pPr>
      <w:tabs>
        <w:tab w:val="center" w:pos="4252"/>
        <w:tab w:val="right" w:pos="8504"/>
      </w:tabs>
    </w:pPr>
  </w:style>
  <w:style w:type="character" w:customStyle="1" w:styleId="PiedepginaCar">
    <w:name w:val="Pie de página Car"/>
    <w:basedOn w:val="Fuentedeprrafopredeter"/>
    <w:link w:val="Piedepgina"/>
    <w:rsid w:val="00214356"/>
    <w:rPr>
      <w:rFonts w:ascii="Cambria" w:hAnsi="Cambria"/>
      <w:sz w:val="22"/>
      <w:lang w:val="es-ES_tradnl"/>
    </w:rPr>
  </w:style>
  <w:style w:type="paragraph" w:styleId="Revisin">
    <w:name w:val="Revision"/>
    <w:hidden/>
    <w:uiPriority w:val="99"/>
    <w:semiHidden/>
    <w:rsid w:val="00C730EC"/>
    <w:rPr>
      <w:rFonts w:ascii="Cambria" w:hAnsi="Cambria"/>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Normalizacion\Plantillas\Portada%20I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A5B10-7D4D-4011-869C-10EE94A7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Portada IP</Template>
  <TotalTime>3</TotalTime>
  <Pages>8</Pages>
  <Words>1871</Words>
  <Characters>10292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AENOR</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tlazaro</dc:creator>
  <cp:keywords/>
  <cp:lastModifiedBy>Coordinación Rehabilitación</cp:lastModifiedBy>
  <cp:revision>2</cp:revision>
  <dcterms:created xsi:type="dcterms:W3CDTF">2026-03-24T09:17:00Z</dcterms:created>
  <dcterms:modified xsi:type="dcterms:W3CDTF">2026-03-24T09:17:00Z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